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8D2FE" w14:textId="77777777" w:rsidR="00E02A81" w:rsidRDefault="00000000">
      <w:pPr>
        <w:spacing w:line="580" w:lineRule="exact"/>
        <w:jc w:val="center"/>
        <w:rPr>
          <w:rFonts w:ascii="方正小标宋简体" w:eastAsia="方正小标宋简体" w:hAnsi="Calibri" w:cs="方正小标宋_GBK"/>
          <w:sz w:val="44"/>
          <w:szCs w:val="44"/>
        </w:rPr>
      </w:pPr>
      <w:bookmarkStart w:id="0" w:name="OLE_LINK1"/>
      <w:r>
        <w:rPr>
          <w:rFonts w:ascii="方正小标宋简体" w:eastAsia="方正小标宋简体" w:hAnsi="Calibri" w:cs="方正小标宋_GBK" w:hint="eastAsia"/>
          <w:sz w:val="44"/>
          <w:szCs w:val="44"/>
        </w:rPr>
        <w:t>呼和浩特市科技计划项目管理办法</w:t>
      </w:r>
    </w:p>
    <w:p w14:paraId="51532AAC" w14:textId="77777777" w:rsidR="00E02A81" w:rsidRDefault="00000000">
      <w:pPr>
        <w:shd w:val="clear" w:color="auto" w:fill="FFFFFF"/>
        <w:spacing w:beforeLines="100" w:before="312" w:afterLines="50" w:after="156" w:line="580" w:lineRule="exact"/>
        <w:jc w:val="center"/>
        <w:rPr>
          <w:rFonts w:ascii="黑体" w:eastAsia="黑体" w:hAnsi="Times New Roman" w:cs="宋体"/>
          <w:sz w:val="32"/>
          <w:szCs w:val="32"/>
        </w:rPr>
      </w:pPr>
      <w:bookmarkStart w:id="1" w:name="_Hlk199166948"/>
      <w:bookmarkStart w:id="2" w:name="OLE_LINK3"/>
      <w:r>
        <w:rPr>
          <w:rFonts w:ascii="黑体" w:eastAsia="黑体" w:hAnsi="Times New Roman" w:cs="宋体" w:hint="eastAsia"/>
          <w:sz w:val="32"/>
          <w:szCs w:val="32"/>
        </w:rPr>
        <w:t>第一章</w:t>
      </w:r>
      <w:r>
        <w:rPr>
          <w:rFonts w:ascii="黑体" w:eastAsia="黑体" w:hAnsi="Times New Roman" w:cs="宋体"/>
          <w:sz w:val="32"/>
          <w:szCs w:val="32"/>
        </w:rPr>
        <w:t xml:space="preserve">  </w:t>
      </w:r>
      <w:r>
        <w:rPr>
          <w:rFonts w:ascii="黑体" w:eastAsia="黑体" w:hAnsi="Times New Roman" w:cs="宋体" w:hint="eastAsia"/>
          <w:sz w:val="32"/>
          <w:szCs w:val="32"/>
        </w:rPr>
        <w:t>总</w:t>
      </w:r>
      <w:r>
        <w:rPr>
          <w:rFonts w:ascii="黑体" w:eastAsia="黑体" w:hAnsi="Times New Roman" w:cs="宋体"/>
          <w:sz w:val="32"/>
          <w:szCs w:val="32"/>
        </w:rPr>
        <w:t xml:space="preserve"> </w:t>
      </w:r>
      <w:r>
        <w:rPr>
          <w:rFonts w:ascii="黑体" w:eastAsia="黑体" w:hAnsi="Times New Roman" w:cs="宋体" w:hint="eastAsia"/>
          <w:sz w:val="32"/>
          <w:szCs w:val="32"/>
        </w:rPr>
        <w:t>则</w:t>
      </w:r>
    </w:p>
    <w:bookmarkEnd w:id="1"/>
    <w:p w14:paraId="7E98DE80"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第一条</w:t>
      </w:r>
      <w:r>
        <w:rPr>
          <w:rFonts w:ascii="仿宋_GB2312" w:eastAsia="仿宋_GB2312" w:hAnsi="宋体" w:cs="宋体"/>
          <w:b/>
          <w:sz w:val="32"/>
          <w:szCs w:val="32"/>
        </w:rPr>
        <w:t xml:space="preserve"> </w:t>
      </w:r>
      <w:r>
        <w:rPr>
          <w:rFonts w:ascii="仿宋_GB2312" w:eastAsia="仿宋_GB2312" w:hAnsi="宋体" w:cs="宋体" w:hint="eastAsia"/>
          <w:sz w:val="32"/>
          <w:szCs w:val="32"/>
        </w:rPr>
        <w:t>为落实《呼和浩特市科学技术进步促进条例》，深化科技体制改革，改进科技计划管理，提升呼和浩特市科技计划项目实施质效，实现科学、规范管理，紧紧围绕铸牢中华民族共同体意识工作主线，结合我市实际，制定本办法。</w:t>
      </w:r>
    </w:p>
    <w:p w14:paraId="499CC26B"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第二条</w:t>
      </w:r>
      <w:r>
        <w:rPr>
          <w:rFonts w:ascii="仿宋_GB2312" w:eastAsia="仿宋_GB2312" w:hAnsi="宋体" w:cs="宋体"/>
          <w:b/>
          <w:sz w:val="32"/>
          <w:szCs w:val="32"/>
        </w:rPr>
        <w:t xml:space="preserve"> </w:t>
      </w:r>
      <w:r>
        <w:rPr>
          <w:rFonts w:ascii="仿宋_GB2312" w:eastAsia="仿宋_GB2312" w:hAnsi="宋体" w:cs="宋体" w:hint="eastAsia"/>
          <w:sz w:val="32"/>
          <w:szCs w:val="32"/>
        </w:rPr>
        <w:t>呼和浩特市科学技术局（以下简称“市科技局”）根据国家、自治区及呼和浩特市科技发展战略、科技创新发展规划，组织实施呼和浩特市科技计划，以科技计划项目形式开展有组织科研，保障战略规划、政策措施、科技力量、资源平台、区域创新等重大任务落地，牵头组织基础研究、关键共性技术研究和成果转化应用示范。</w:t>
      </w:r>
    </w:p>
    <w:p w14:paraId="1DDB6EB2"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 xml:space="preserve">第三条 </w:t>
      </w:r>
      <w:r>
        <w:rPr>
          <w:rFonts w:ascii="仿宋_GB2312" w:eastAsia="仿宋_GB2312" w:hAnsi="宋体" w:cs="宋体" w:hint="eastAsia"/>
          <w:sz w:val="32"/>
          <w:szCs w:val="32"/>
        </w:rPr>
        <w:t>呼和浩特市科技计划体系主要包括基础研究计划、科技重大专项计划、重点研发与成果转化计划、创新平台建设计划和创新能力提升计划等，并在保持相对持续性基础上，根据实际需要实行动态调整。按照分类分级管理,</w:t>
      </w:r>
      <w:bookmarkStart w:id="3" w:name="OLE_LINK2"/>
      <w:r>
        <w:rPr>
          <w:rFonts w:ascii="仿宋_GB2312" w:eastAsia="仿宋_GB2312" w:hAnsi="宋体" w:cs="宋体" w:hint="eastAsia"/>
          <w:sz w:val="32"/>
          <w:szCs w:val="32"/>
        </w:rPr>
        <w:t>下设专项、项目</w:t>
      </w:r>
      <w:bookmarkEnd w:id="3"/>
      <w:r>
        <w:rPr>
          <w:rFonts w:ascii="仿宋_GB2312" w:eastAsia="仿宋_GB2312" w:hAnsi="宋体" w:cs="宋体" w:hint="eastAsia"/>
          <w:sz w:val="32"/>
          <w:szCs w:val="32"/>
        </w:rPr>
        <w:t>。</w:t>
      </w:r>
    </w:p>
    <w:p w14:paraId="063264C1"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第四条</w:t>
      </w:r>
      <w:r>
        <w:rPr>
          <w:rFonts w:ascii="仿宋_GB2312" w:eastAsia="仿宋_GB2312" w:hAnsi="宋体" w:cs="宋体"/>
          <w:b/>
          <w:sz w:val="32"/>
          <w:szCs w:val="32"/>
        </w:rPr>
        <w:t xml:space="preserve"> </w:t>
      </w:r>
      <w:r>
        <w:rPr>
          <w:rFonts w:ascii="仿宋_GB2312" w:eastAsia="仿宋_GB2312" w:hAnsi="宋体" w:cs="宋体" w:hint="eastAsia"/>
          <w:sz w:val="32"/>
          <w:szCs w:val="32"/>
        </w:rPr>
        <w:t>各类科技计划项目管理，可根据实际需要，制定具体的相关管理制度、细则等，无相应规定的参照本办法执行。</w:t>
      </w:r>
    </w:p>
    <w:p w14:paraId="564FFB88" w14:textId="77777777" w:rsidR="00E02A81" w:rsidRDefault="00000000">
      <w:pPr>
        <w:shd w:val="clear" w:color="auto" w:fill="FFFFFF"/>
        <w:spacing w:beforeLines="50" w:before="156" w:afterLines="50" w:after="156" w:line="580" w:lineRule="exact"/>
        <w:jc w:val="center"/>
        <w:rPr>
          <w:rFonts w:ascii="黑体" w:eastAsia="黑体" w:hAnsi="Times New Roman" w:cs="宋体"/>
          <w:sz w:val="32"/>
          <w:szCs w:val="32"/>
        </w:rPr>
      </w:pPr>
      <w:r>
        <w:rPr>
          <w:rFonts w:ascii="黑体" w:eastAsia="黑体" w:hAnsi="Times New Roman" w:cs="宋体" w:hint="eastAsia"/>
          <w:sz w:val="32"/>
          <w:szCs w:val="32"/>
        </w:rPr>
        <w:t>第二章</w:t>
      </w:r>
      <w:r>
        <w:rPr>
          <w:rFonts w:ascii="黑体" w:eastAsia="黑体" w:hAnsi="Times New Roman" w:cs="宋体"/>
          <w:sz w:val="32"/>
          <w:szCs w:val="32"/>
        </w:rPr>
        <w:t xml:space="preserve">  </w:t>
      </w:r>
      <w:r>
        <w:rPr>
          <w:rFonts w:ascii="黑体" w:eastAsia="黑体" w:hAnsi="Times New Roman" w:cs="宋体" w:hint="eastAsia"/>
          <w:sz w:val="32"/>
          <w:szCs w:val="32"/>
        </w:rPr>
        <w:t>组织管理</w:t>
      </w:r>
    </w:p>
    <w:p w14:paraId="55716BD1"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bookmarkStart w:id="4" w:name="_Hlk199167139"/>
      <w:r>
        <w:rPr>
          <w:rFonts w:ascii="仿宋_GB2312" w:eastAsia="仿宋_GB2312" w:hAnsi="宋体" w:cs="宋体" w:hint="eastAsia"/>
          <w:b/>
          <w:sz w:val="32"/>
          <w:szCs w:val="32"/>
        </w:rPr>
        <w:t>第五条</w:t>
      </w:r>
      <w:bookmarkEnd w:id="4"/>
      <w:r>
        <w:rPr>
          <w:rFonts w:ascii="仿宋_GB2312" w:eastAsia="仿宋_GB2312" w:hAnsi="宋体" w:cs="宋体" w:hint="eastAsia"/>
          <w:b/>
          <w:sz w:val="32"/>
          <w:szCs w:val="32"/>
        </w:rPr>
        <w:t xml:space="preserve"> </w:t>
      </w:r>
      <w:r>
        <w:rPr>
          <w:rFonts w:ascii="仿宋_GB2312" w:eastAsia="仿宋_GB2312" w:hAnsi="宋体" w:cs="宋体" w:hint="eastAsia"/>
          <w:sz w:val="32"/>
          <w:szCs w:val="32"/>
        </w:rPr>
        <w:t>科技计划项目管理主体包括项目主管部门、项目归</w:t>
      </w:r>
      <w:r>
        <w:rPr>
          <w:rFonts w:ascii="仿宋_GB2312" w:eastAsia="仿宋_GB2312" w:hAnsi="宋体" w:cs="宋体" w:hint="eastAsia"/>
          <w:sz w:val="32"/>
          <w:szCs w:val="32"/>
        </w:rPr>
        <w:lastRenderedPageBreak/>
        <w:t>口管理部门、项目管理专业机构等。项目实施主体包括项目牵头单位、参与单位和项目负责人等。咨询专家接受科技计划项目主管部门委托，参与项目评审、论证、咨询、综合绩效评价等活动。</w:t>
      </w:r>
    </w:p>
    <w:p w14:paraId="7B4221D7" w14:textId="77777777" w:rsidR="00E02A81" w:rsidRDefault="00000000">
      <w:pPr>
        <w:shd w:val="clear" w:color="auto" w:fill="FFFFFF"/>
        <w:spacing w:line="580" w:lineRule="exact"/>
        <w:ind w:firstLineChars="200" w:firstLine="643"/>
        <w:rPr>
          <w:rFonts w:ascii="仿宋_GB2312" w:eastAsia="仿宋_GB2312" w:hAnsi="宋体" w:cs="宋体" w:hint="eastAsia"/>
          <w:b/>
          <w:sz w:val="32"/>
          <w:szCs w:val="32"/>
        </w:rPr>
      </w:pPr>
      <w:r>
        <w:rPr>
          <w:rFonts w:ascii="仿宋_GB2312" w:eastAsia="仿宋_GB2312" w:hAnsi="宋体" w:cs="宋体" w:hint="eastAsia"/>
          <w:b/>
          <w:sz w:val="32"/>
          <w:szCs w:val="32"/>
        </w:rPr>
        <w:t xml:space="preserve">第六条 </w:t>
      </w:r>
      <w:r>
        <w:rPr>
          <w:rFonts w:ascii="仿宋_GB2312" w:eastAsia="仿宋_GB2312" w:hAnsi="宋体" w:cs="宋体" w:hint="eastAsia"/>
          <w:sz w:val="32"/>
          <w:szCs w:val="32"/>
        </w:rPr>
        <w:t>市科技局是科技计划项目的主管部门，主要职责是：</w:t>
      </w:r>
    </w:p>
    <w:p w14:paraId="33192B0B"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（一）制定呼和浩特市科技计划项目相关管理制度；</w:t>
      </w:r>
    </w:p>
    <w:p w14:paraId="67951B3D"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（二）负责科技计划总体布局、科技需求凝练，提出年度科技计划及经费预算安排建议；</w:t>
      </w:r>
    </w:p>
    <w:p w14:paraId="5E42CF9F"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（三）编制和发布项目申报指南，确定年度支持重点领域和研究方向；</w:t>
      </w:r>
    </w:p>
    <w:p w14:paraId="4423E625"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（四）组织项目立项、实施、综合绩效评价等管理，对项目实施全过程监督，协调解决相关重大问题；</w:t>
      </w:r>
    </w:p>
    <w:p w14:paraId="3040FC0C"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（五）负责项目管理专业机构的指导；</w:t>
      </w:r>
    </w:p>
    <w:p w14:paraId="481233B2"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（六）建设和管理呼和浩特市科技专家库、呼和浩特市科技计划管理信息系统；</w:t>
      </w:r>
    </w:p>
    <w:p w14:paraId="7D561D9C"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（七）按照相关规定应当履行的其他职责。</w:t>
      </w:r>
    </w:p>
    <w:p w14:paraId="6BBAE3BA"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bCs/>
          <w:sz w:val="32"/>
          <w:szCs w:val="32"/>
        </w:rPr>
        <w:t xml:space="preserve">第七条 </w:t>
      </w:r>
      <w:r>
        <w:rPr>
          <w:rFonts w:ascii="仿宋_GB2312" w:eastAsia="仿宋_GB2312" w:hAnsi="宋体" w:cs="宋体" w:hint="eastAsia"/>
          <w:sz w:val="32"/>
          <w:szCs w:val="32"/>
        </w:rPr>
        <w:t>项目归口管理部门包括各旗县区、呼和浩特金山高新技术产业开发区、呼和浩特经济技术开发区、内蒙古和林格尔新区、呼和浩特市综合保税区等科技管理部门;</w:t>
      </w:r>
      <w:bookmarkStart w:id="5" w:name="_Hlk199252553"/>
      <w:r>
        <w:rPr>
          <w:rFonts w:ascii="仿宋_GB2312" w:eastAsia="仿宋_GB2312" w:hAnsi="宋体" w:cs="宋体" w:hint="eastAsia"/>
          <w:sz w:val="32"/>
          <w:szCs w:val="32"/>
        </w:rPr>
        <w:t>市直属有关部门、高校院所</w:t>
      </w:r>
      <w:bookmarkEnd w:id="5"/>
      <w:r>
        <w:rPr>
          <w:rFonts w:ascii="仿宋_GB2312" w:eastAsia="仿宋_GB2312" w:hAnsi="宋体" w:cs="宋体" w:hint="eastAsia"/>
          <w:sz w:val="32"/>
          <w:szCs w:val="32"/>
        </w:rPr>
        <w:t>、经市科技局核准的其他单位等，主要职责是：</w:t>
      </w:r>
    </w:p>
    <w:p w14:paraId="7BBF52B9"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（一）负责本地区、本部门科技计划项目组织申报、审核推荐、监督管理工作；</w:t>
      </w:r>
    </w:p>
    <w:p w14:paraId="75D582A8" w14:textId="77777777" w:rsidR="00E02A81" w:rsidRDefault="00000000">
      <w:pPr>
        <w:shd w:val="clear" w:color="auto" w:fill="FFFFFF"/>
        <w:spacing w:line="580" w:lineRule="exact"/>
        <w:ind w:firstLineChars="200" w:firstLine="616"/>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lastRenderedPageBreak/>
        <w:t>（二）审核项目单位、项目人员、项目材料的完整性和合规性；</w:t>
      </w:r>
    </w:p>
    <w:p w14:paraId="1B026630"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（三）监督项目的实施和经费使用，督促项目承担单位和项目负责人按期实施和完成项目；</w:t>
      </w:r>
    </w:p>
    <w:p w14:paraId="4616FC5B"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（四）协调项目的实施推进，及时向项目主管部门报告项目实施中难以协调和解决的问题，提出工作建议；</w:t>
      </w:r>
    </w:p>
    <w:p w14:paraId="7ADBFC62"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（五）协助或接受市科技局委托开展项目检查、综合绩效评价工作，协调推动项目成果的转移转化与应用示范；</w:t>
      </w:r>
    </w:p>
    <w:p w14:paraId="646E26D2"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（六）按照规定应当履行的其他职责。</w:t>
      </w:r>
    </w:p>
    <w:p w14:paraId="70D443CB"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bCs/>
          <w:sz w:val="32"/>
          <w:szCs w:val="32"/>
        </w:rPr>
        <w:t xml:space="preserve">第八条 </w:t>
      </w:r>
      <w:r>
        <w:rPr>
          <w:rFonts w:ascii="仿宋_GB2312" w:eastAsia="仿宋_GB2312" w:hAnsi="宋体" w:cs="宋体" w:hint="eastAsia"/>
          <w:sz w:val="32"/>
          <w:szCs w:val="32"/>
        </w:rPr>
        <w:t>项目承担单位包括项目牵头单位和项目参与单位，负责具体项目组织实施，主要职责是：</w:t>
      </w:r>
    </w:p>
    <w:p w14:paraId="1A39A61B" w14:textId="77777777" w:rsidR="00E02A81" w:rsidRDefault="00000000">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（一）项目牵头单位是项目实施的责任主体,应建立健全科研、财务、诚信等内部管理制度；</w:t>
      </w:r>
    </w:p>
    <w:p w14:paraId="30A607E4" w14:textId="77777777" w:rsidR="00E02A81" w:rsidRDefault="00000000">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（二）严格执行科技计划各项管理规定，落实项目实施配套资金和其他保障条件，及时将科研经费拨付到各参与单位，对项目参与单位、项目负责人和项目参与人员进行管理；</w:t>
      </w:r>
    </w:p>
    <w:p w14:paraId="6C898480"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（三）项目参与单位应接受项目牵头单位的指导、协调和监督，项目管理主体一般不直接对项目参与单位进行管理；</w:t>
      </w:r>
    </w:p>
    <w:p w14:paraId="72AD180F"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（四）落实任务书各项条款，完成主要目标和任务；</w:t>
      </w:r>
    </w:p>
    <w:p w14:paraId="7580F780"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（五）按要求及时报告项目进展情况、执行中出现的重大事项，按程序要求报批项目需要调整的事项；</w:t>
      </w:r>
    </w:p>
    <w:p w14:paraId="6FA3D3AC"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（六）接受指导、检查，配合做好项目监督、绩效评价等工作，建立完整项目档案；</w:t>
      </w:r>
    </w:p>
    <w:p w14:paraId="7AFC5628"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lastRenderedPageBreak/>
        <w:t>（七）按照规定应当履行的其他职责。</w:t>
      </w:r>
    </w:p>
    <w:p w14:paraId="3D82334B" w14:textId="77777777" w:rsidR="00E02A81" w:rsidRDefault="00000000">
      <w:pPr>
        <w:shd w:val="clear" w:color="auto" w:fill="FFFFFF"/>
        <w:spacing w:line="580" w:lineRule="exact"/>
        <w:ind w:firstLineChars="200" w:firstLine="643"/>
        <w:rPr>
          <w:rFonts w:ascii="仿宋_GB2312" w:eastAsia="仿宋_GB2312" w:hAnsi="宋体" w:cs="宋体" w:hint="eastAsia"/>
          <w:b/>
          <w:bCs/>
          <w:sz w:val="32"/>
          <w:szCs w:val="32"/>
        </w:rPr>
      </w:pPr>
      <w:r>
        <w:rPr>
          <w:rFonts w:ascii="仿宋_GB2312" w:eastAsia="仿宋_GB2312" w:hAnsi="宋体" w:cs="宋体" w:hint="eastAsia"/>
          <w:b/>
          <w:bCs/>
          <w:sz w:val="32"/>
          <w:szCs w:val="32"/>
        </w:rPr>
        <w:t xml:space="preserve">第九条 </w:t>
      </w:r>
      <w:r>
        <w:rPr>
          <w:rFonts w:ascii="仿宋_GB2312" w:eastAsia="仿宋_GB2312" w:hAnsi="宋体" w:cs="宋体" w:hint="eastAsia"/>
          <w:sz w:val="32"/>
          <w:szCs w:val="32"/>
        </w:rPr>
        <w:t>项目负责人主要职责及基本要求是：</w:t>
      </w:r>
    </w:p>
    <w:p w14:paraId="46F69A57"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（一）项目负责人是项目实施的直接责任人，须严格执行科技计划各项管理规定；</w:t>
      </w:r>
    </w:p>
    <w:p w14:paraId="7D8BCA20"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（二）负责项目组织和协调，严格执行任务书要求，按规定规范使用项目经费；</w:t>
      </w:r>
    </w:p>
    <w:p w14:paraId="76D63B9C"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（三）按要求提交相关材料，对填写、提交材料的真实性、有效性和完整性直接负责；</w:t>
      </w:r>
    </w:p>
    <w:p w14:paraId="13B9D7F8" w14:textId="77777777" w:rsidR="00E02A81" w:rsidRDefault="00000000">
      <w:pPr>
        <w:shd w:val="clear" w:color="auto" w:fill="FFFFFF"/>
        <w:spacing w:line="580" w:lineRule="exact"/>
        <w:ind w:firstLineChars="200" w:firstLine="616"/>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（四）履行项目合作协议、保密、知识产权保护等责任和义务；</w:t>
      </w:r>
    </w:p>
    <w:p w14:paraId="5B9F0827"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（五）按照规定应当履行的其他职责。</w:t>
      </w:r>
    </w:p>
    <w:p w14:paraId="7F08AFCF"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bCs/>
          <w:sz w:val="32"/>
          <w:szCs w:val="32"/>
        </w:rPr>
        <w:t>第十条</w:t>
      </w:r>
      <w:r>
        <w:rPr>
          <w:rFonts w:ascii="仿宋_GB2312" w:eastAsia="仿宋_GB2312" w:hAnsi="宋体" w:cs="宋体" w:hint="eastAsia"/>
          <w:sz w:val="32"/>
          <w:szCs w:val="32"/>
        </w:rPr>
        <w:t xml:space="preserve"> 项目管理专业机构是市科技局所属相关事业单位，主要职责是：</w:t>
      </w:r>
    </w:p>
    <w:p w14:paraId="0B4D8AC5" w14:textId="77777777" w:rsidR="00E02A81" w:rsidRDefault="00000000">
      <w:pPr>
        <w:shd w:val="clear" w:color="auto" w:fill="FFFFFF"/>
        <w:spacing w:line="580" w:lineRule="exact"/>
        <w:ind w:firstLineChars="200" w:firstLine="616"/>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（一）接受市科技局指导、委托，协助开展项目管理相关工作；</w:t>
      </w:r>
    </w:p>
    <w:p w14:paraId="38D150B4"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（二）客观反映受托事项中发现的问题，提出相关建议；</w:t>
      </w:r>
    </w:p>
    <w:p w14:paraId="5111D884"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（三）严格遵守项目管理工作纪律，保守项目技术秘密。</w:t>
      </w:r>
    </w:p>
    <w:p w14:paraId="34AC129A" w14:textId="77777777" w:rsidR="00E02A81" w:rsidRDefault="00000000">
      <w:pPr>
        <w:shd w:val="clear" w:color="auto" w:fill="FFFFFF"/>
        <w:spacing w:line="580" w:lineRule="exact"/>
        <w:ind w:firstLineChars="200" w:firstLine="643"/>
        <w:rPr>
          <w:rFonts w:ascii="仿宋_GB2312" w:eastAsia="仿宋_GB2312" w:hAnsi="宋体" w:cs="宋体" w:hint="eastAsia"/>
          <w:b/>
          <w:bCs/>
          <w:sz w:val="32"/>
          <w:szCs w:val="32"/>
        </w:rPr>
      </w:pPr>
      <w:r>
        <w:rPr>
          <w:rFonts w:ascii="仿宋_GB2312" w:eastAsia="仿宋_GB2312" w:hAnsi="宋体" w:cs="宋体" w:hint="eastAsia"/>
          <w:b/>
          <w:bCs/>
          <w:sz w:val="32"/>
          <w:szCs w:val="32"/>
        </w:rPr>
        <w:t xml:space="preserve">第十一条 </w:t>
      </w:r>
      <w:r>
        <w:rPr>
          <w:rFonts w:ascii="仿宋_GB2312" w:eastAsia="仿宋_GB2312" w:hAnsi="宋体" w:cs="宋体" w:hint="eastAsia"/>
          <w:sz w:val="32"/>
          <w:szCs w:val="32"/>
        </w:rPr>
        <w:t>咨询专家主要职责及基本要求是：</w:t>
      </w:r>
    </w:p>
    <w:p w14:paraId="48525ED5"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（一）遵守公平、公正、保密和回避原则，独立、客观提出评审、论证、咨询等意见；</w:t>
      </w:r>
    </w:p>
    <w:p w14:paraId="1B0CF6C2"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（二）具备所受委托咨询论证事项的业务能力和水平，对所提出的意见建议真实性、可靠性负责；</w:t>
      </w:r>
    </w:p>
    <w:p w14:paraId="5B634119" w14:textId="77777777" w:rsidR="00E02A81" w:rsidRDefault="00000000">
      <w:pPr>
        <w:shd w:val="clear" w:color="auto" w:fill="FFFFFF"/>
        <w:spacing w:line="580" w:lineRule="exact"/>
        <w:ind w:firstLineChars="200" w:firstLine="616"/>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（三）不得以任何方式获取不正当利益，不得有“请托”行为；</w:t>
      </w:r>
    </w:p>
    <w:p w14:paraId="09C54702"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lastRenderedPageBreak/>
        <w:t>（四）严守论证咨询对象技术和商业秘密，不得对外透露、泄露评审论证结果；</w:t>
      </w:r>
    </w:p>
    <w:p w14:paraId="7041D2EB"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（五）按照规定应当履行的其他职责。</w:t>
      </w:r>
    </w:p>
    <w:p w14:paraId="28456E3E" w14:textId="77777777" w:rsidR="00E02A81" w:rsidRDefault="00000000">
      <w:pPr>
        <w:shd w:val="clear" w:color="auto" w:fill="FFFFFF"/>
        <w:spacing w:beforeLines="50" w:before="156" w:afterLines="50" w:after="156" w:line="580" w:lineRule="exact"/>
        <w:jc w:val="center"/>
        <w:rPr>
          <w:rFonts w:ascii="黑体" w:eastAsia="黑体" w:hAnsi="黑体" w:cs="方正黑体_GBK" w:hint="eastAsia"/>
          <w:spacing w:val="18"/>
          <w:kern w:val="0"/>
          <w:sz w:val="32"/>
          <w:szCs w:val="32"/>
        </w:rPr>
      </w:pPr>
      <w:r>
        <w:rPr>
          <w:rFonts w:ascii="黑体" w:eastAsia="黑体" w:hAnsi="Times New Roman" w:cs="宋体" w:hint="eastAsia"/>
          <w:sz w:val="32"/>
          <w:szCs w:val="32"/>
        </w:rPr>
        <w:t>第三章</w:t>
      </w:r>
      <w:r>
        <w:rPr>
          <w:rFonts w:ascii="黑体" w:eastAsia="黑体" w:hAnsi="黑体" w:cs="方正黑体_GBK"/>
          <w:spacing w:val="18"/>
          <w:kern w:val="0"/>
          <w:sz w:val="32"/>
          <w:szCs w:val="32"/>
        </w:rPr>
        <w:t xml:space="preserve">  </w:t>
      </w:r>
      <w:r>
        <w:rPr>
          <w:rFonts w:ascii="黑体" w:eastAsia="黑体" w:hAnsi="黑体" w:cs="方正黑体_GBK" w:hint="eastAsia"/>
          <w:spacing w:val="18"/>
          <w:kern w:val="0"/>
          <w:sz w:val="32"/>
          <w:szCs w:val="32"/>
        </w:rPr>
        <w:t>项目申报和立项</w:t>
      </w:r>
    </w:p>
    <w:p w14:paraId="0AA31785"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第十二条 指南发布。</w:t>
      </w:r>
      <w:r>
        <w:rPr>
          <w:rFonts w:ascii="仿宋_GB2312" w:eastAsia="仿宋_GB2312" w:hAnsi="宋体" w:cs="宋体" w:hint="eastAsia"/>
          <w:sz w:val="32"/>
          <w:szCs w:val="32"/>
        </w:rPr>
        <w:t>市科技局在广泛征集需求，凝练研究方向的基础上，分类编制年度项目申报指南，明确重点支持领域、发布范围、项目遴选和组织实施方式、申报时限等。项目申报实行全流程网上申报受理，涉密项目或另有要求的按相关规定执行。对突发、紧急的科技需求，可采取一事一议、特事特办方式，启动项目。</w:t>
      </w:r>
    </w:p>
    <w:p w14:paraId="2DC9F85F"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第十三条 项目组织方式。</w:t>
      </w:r>
      <w:r>
        <w:rPr>
          <w:rFonts w:ascii="仿宋_GB2312" w:eastAsia="仿宋_GB2312" w:hAnsi="宋体" w:cs="宋体" w:hint="eastAsia"/>
          <w:sz w:val="32"/>
          <w:szCs w:val="32"/>
        </w:rPr>
        <w:t>根据不同任务类型可采取下列项目遴选机制和组织实施方式。</w:t>
      </w:r>
    </w:p>
    <w:p w14:paraId="384A310D"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竞争择优。</w:t>
      </w:r>
      <w:r>
        <w:rPr>
          <w:rFonts w:ascii="仿宋_GB2312" w:eastAsia="仿宋_GB2312" w:hAnsi="宋体" w:cs="宋体" w:hint="eastAsia"/>
          <w:sz w:val="32"/>
          <w:szCs w:val="32"/>
        </w:rPr>
        <w:t>在全市范围内公开竞争，择优确定项目承担单位及团队。</w:t>
      </w:r>
    </w:p>
    <w:p w14:paraId="11487FB7"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定向委托。</w:t>
      </w:r>
      <w:r>
        <w:rPr>
          <w:rFonts w:ascii="仿宋_GB2312" w:eastAsia="仿宋_GB2312" w:hAnsi="宋体" w:cs="宋体" w:hint="eastAsia"/>
          <w:sz w:val="32"/>
          <w:szCs w:val="32"/>
        </w:rPr>
        <w:t>对战略目标明确、技术路线清晰、组织程度较高、典型应用示范区域特征明显的科技任务，可采用定向委托方式。</w:t>
      </w:r>
    </w:p>
    <w:p w14:paraId="2558479B"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揭榜挂帅。</w:t>
      </w:r>
      <w:r>
        <w:rPr>
          <w:rFonts w:ascii="仿宋_GB2312" w:eastAsia="仿宋_GB2312" w:hAnsi="宋体" w:cs="宋体" w:hint="eastAsia"/>
          <w:sz w:val="32"/>
          <w:szCs w:val="32"/>
        </w:rPr>
        <w:t>由技术需求方提出技术研发需求和成果转化需求，通过公开发榜等形式，组织社会力量揭榜攻关。</w:t>
      </w:r>
    </w:p>
    <w:p w14:paraId="46BFBAA8"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赛马制。</w:t>
      </w:r>
      <w:r>
        <w:rPr>
          <w:rFonts w:ascii="仿宋_GB2312" w:eastAsia="仿宋_GB2312" w:hAnsi="宋体" w:cs="宋体" w:hint="eastAsia"/>
          <w:sz w:val="32"/>
          <w:szCs w:val="32"/>
        </w:rPr>
        <w:t>针对战略意义重大、风险较高的攻关任务，可面向不同技术路线同时组织多支研发团队平行攻关。</w:t>
      </w:r>
    </w:p>
    <w:p w14:paraId="4468A575"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长周期项目。</w:t>
      </w:r>
      <w:r>
        <w:rPr>
          <w:rFonts w:ascii="仿宋_GB2312" w:eastAsia="仿宋_GB2312" w:hAnsi="宋体" w:cs="宋体" w:hint="eastAsia"/>
          <w:sz w:val="32"/>
          <w:szCs w:val="32"/>
        </w:rPr>
        <w:t>通过滚动支持方式，对呼和浩特科技创新具有</w:t>
      </w:r>
      <w:r>
        <w:rPr>
          <w:rFonts w:ascii="仿宋_GB2312" w:eastAsia="仿宋_GB2312" w:hAnsi="宋体" w:cs="宋体" w:hint="eastAsia"/>
          <w:sz w:val="32"/>
          <w:szCs w:val="32"/>
        </w:rPr>
        <w:lastRenderedPageBreak/>
        <w:t>重要带动作用的高层次创新人才及团队、重大创新平台等,择优给予长期稳定支持。</w:t>
      </w:r>
    </w:p>
    <w:p w14:paraId="7DA05EF4"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非共识项目。</w:t>
      </w:r>
      <w:r>
        <w:rPr>
          <w:rFonts w:ascii="仿宋_GB2312" w:eastAsia="仿宋_GB2312" w:hAnsi="宋体" w:cs="宋体" w:hint="eastAsia"/>
          <w:sz w:val="32"/>
          <w:szCs w:val="32"/>
        </w:rPr>
        <w:t>对以重大原始创新和颠覆性创新为核心的科技任务，经领域内高水平专家实名推荐，通过建立项目评审绿色通道予以立项。</w:t>
      </w:r>
    </w:p>
    <w:p w14:paraId="0C67B499"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第十四条 组织申报。</w:t>
      </w:r>
      <w:r>
        <w:rPr>
          <w:rFonts w:ascii="仿宋_GB2312" w:eastAsia="仿宋_GB2312" w:hAnsi="宋体" w:cs="宋体" w:hint="eastAsia"/>
          <w:sz w:val="32"/>
          <w:szCs w:val="32"/>
        </w:rPr>
        <w:t>符合条件的单位根据项目指南要求，主动申请，项目归口管理部门对项目申报单位和项目负责人资质、项目申报书等材料进行初审，审核通过后推荐至市科技局。</w:t>
      </w:r>
    </w:p>
    <w:p w14:paraId="01881219"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项目牵头单位原则上应为呼和浩特市内注册满1年的独立法人单位；多个单位联合申报项目的，须签订项目联合申报协议，并明确项目牵头单位；区外高等院校、科研院所、企业等可作为合作单位参与项目申报。</w:t>
      </w:r>
    </w:p>
    <w:p w14:paraId="5C2B0B9E" w14:textId="77777777" w:rsidR="00E02A81" w:rsidRDefault="00000000">
      <w:pPr>
        <w:shd w:val="clear" w:color="auto" w:fill="FFFFFF"/>
        <w:spacing w:line="59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项目负责人原则上不超过60周岁，涉及揭榜挂帅、赛马制、长周期和非共识项目及申报指南另有要求的除外；项目负责人应具备相关研究领域的学术背景或技术优势，具有完成项目所需的组织管理和协调能力；项目负责人牵头承担的呼和浩特市科技计划在研项目一般不超过2项，申报指南另有要求的除外；在定向委托、揭榜挂帅、非共识项目中须明确首席专家，首席专家作为项目负责人，对项目实施全面负责。</w:t>
      </w:r>
    </w:p>
    <w:p w14:paraId="7A6991A0" w14:textId="77777777" w:rsidR="00E02A81" w:rsidRDefault="00000000">
      <w:pPr>
        <w:shd w:val="clear" w:color="auto" w:fill="FFFFFF"/>
        <w:spacing w:line="580" w:lineRule="exact"/>
        <w:ind w:firstLineChars="200" w:firstLine="640"/>
        <w:rPr>
          <w:rFonts w:ascii="仿宋_GB2312" w:eastAsia="仿宋_GB2312" w:hAnsi="宋体" w:cs="宋体" w:hint="eastAsia"/>
          <w:b/>
          <w:sz w:val="32"/>
          <w:szCs w:val="32"/>
        </w:rPr>
      </w:pPr>
      <w:r>
        <w:rPr>
          <w:rFonts w:ascii="仿宋_GB2312" w:eastAsia="仿宋_GB2312" w:hAnsi="宋体" w:cs="宋体" w:hint="eastAsia"/>
          <w:sz w:val="32"/>
          <w:szCs w:val="32"/>
        </w:rPr>
        <w:t>项目申报单位和项目负责人无在惩戒执行期内的科研失信行为记录和相关社会领域信用“黑名单”记录。</w:t>
      </w:r>
    </w:p>
    <w:p w14:paraId="3F049BA4" w14:textId="77777777" w:rsidR="00E02A81" w:rsidRDefault="00000000">
      <w:pPr>
        <w:shd w:val="clear" w:color="auto" w:fill="FFFFFF"/>
        <w:spacing w:line="580" w:lineRule="exact"/>
        <w:ind w:firstLineChars="200" w:firstLine="643"/>
        <w:rPr>
          <w:rFonts w:ascii="仿宋_GB2312" w:eastAsia="仿宋_GB2312" w:hAnsi="宋体" w:cs="宋体" w:hint="eastAsia"/>
          <w:b/>
          <w:sz w:val="32"/>
          <w:szCs w:val="32"/>
        </w:rPr>
      </w:pPr>
      <w:r>
        <w:rPr>
          <w:rFonts w:ascii="仿宋_GB2312" w:eastAsia="仿宋_GB2312" w:hAnsi="宋体" w:cs="宋体" w:hint="eastAsia"/>
          <w:b/>
          <w:sz w:val="32"/>
          <w:szCs w:val="32"/>
        </w:rPr>
        <w:lastRenderedPageBreak/>
        <w:t>第十五条 项目受理。</w:t>
      </w:r>
      <w:r>
        <w:rPr>
          <w:rFonts w:ascii="仿宋_GB2312" w:eastAsia="仿宋_GB2312" w:hAnsi="宋体" w:cs="宋体" w:hint="eastAsia"/>
          <w:sz w:val="32"/>
          <w:szCs w:val="32"/>
        </w:rPr>
        <w:t>市科技局依据项目归口管理部门推荐文件和推荐项目清单，受理申报项目。</w:t>
      </w:r>
    </w:p>
    <w:p w14:paraId="2ED3A770" w14:textId="77777777" w:rsidR="00E02A81" w:rsidRDefault="00000000">
      <w:pPr>
        <w:shd w:val="clear" w:color="auto" w:fill="FFFFFF"/>
        <w:spacing w:line="580" w:lineRule="exact"/>
        <w:ind w:firstLineChars="200" w:firstLine="643"/>
        <w:rPr>
          <w:rFonts w:ascii="仿宋_GB2312" w:eastAsia="仿宋_GB2312" w:hAnsi="宋体" w:cs="宋体" w:hint="eastAsia"/>
          <w:b/>
          <w:sz w:val="32"/>
          <w:szCs w:val="32"/>
        </w:rPr>
      </w:pPr>
      <w:r>
        <w:rPr>
          <w:rFonts w:ascii="仿宋_GB2312" w:eastAsia="仿宋_GB2312" w:hAnsi="宋体" w:cs="宋体" w:hint="eastAsia"/>
          <w:b/>
          <w:sz w:val="32"/>
          <w:szCs w:val="32"/>
        </w:rPr>
        <w:t>第十六条 形式审查。</w:t>
      </w:r>
      <w:r>
        <w:rPr>
          <w:rFonts w:ascii="仿宋_GB2312" w:eastAsia="仿宋_GB2312" w:hAnsi="宋体" w:cs="宋体" w:hint="eastAsia"/>
          <w:sz w:val="32"/>
          <w:szCs w:val="32"/>
        </w:rPr>
        <w:t>市科技局对所受理项目进行形式审查，通过的进入评审论证环节。</w:t>
      </w:r>
    </w:p>
    <w:p w14:paraId="08CB4AC2" w14:textId="77777777" w:rsidR="00E02A81" w:rsidRDefault="00000000">
      <w:pPr>
        <w:shd w:val="clear" w:color="auto" w:fill="FFFFFF"/>
        <w:spacing w:line="56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第十七条 评审论证。</w:t>
      </w:r>
      <w:r>
        <w:rPr>
          <w:rFonts w:ascii="仿宋_GB2312" w:eastAsia="仿宋_GB2312" w:hAnsi="宋体" w:cs="宋体" w:hint="eastAsia"/>
          <w:sz w:val="32"/>
          <w:szCs w:val="32"/>
        </w:rPr>
        <w:t>采取通讯评审、会议评审等方式开展，同一指南中同一研究方向项目，应实行同一种评审方法，择优确定项目承担单位。咨询专家选聘按照《呼和浩特市科技专家库管理办法》执行。</w:t>
      </w:r>
    </w:p>
    <w:p w14:paraId="79FFAA7F" w14:textId="77777777" w:rsidR="00E02A81" w:rsidRDefault="00000000">
      <w:pPr>
        <w:shd w:val="clear" w:color="auto" w:fill="FFFFFF"/>
        <w:spacing w:line="560" w:lineRule="exact"/>
        <w:ind w:firstLineChars="200" w:firstLine="643"/>
        <w:rPr>
          <w:rFonts w:ascii="仿宋_GB2312" w:eastAsia="仿宋_GB2312" w:hAnsi="宋体" w:cs="宋体" w:hint="eastAsia"/>
          <w:spacing w:val="-11"/>
          <w:sz w:val="32"/>
          <w:szCs w:val="32"/>
        </w:rPr>
      </w:pPr>
      <w:r>
        <w:rPr>
          <w:rFonts w:ascii="仿宋_GB2312" w:eastAsia="仿宋_GB2312" w:hAnsi="宋体" w:cs="宋体" w:hint="eastAsia"/>
          <w:b/>
          <w:sz w:val="32"/>
          <w:szCs w:val="32"/>
        </w:rPr>
        <w:t xml:space="preserve">第十八条 </w:t>
      </w:r>
      <w:r>
        <w:rPr>
          <w:rFonts w:ascii="仿宋_GB2312" w:eastAsia="仿宋_GB2312" w:hAnsi="宋体" w:cs="宋体" w:hint="eastAsia"/>
          <w:b/>
          <w:bCs/>
          <w:sz w:val="32"/>
          <w:szCs w:val="32"/>
        </w:rPr>
        <w:t>立项公示。</w:t>
      </w:r>
      <w:r>
        <w:rPr>
          <w:rFonts w:ascii="仿宋_GB2312" w:eastAsia="仿宋_GB2312" w:hAnsi="宋体" w:cs="宋体" w:hint="eastAsia"/>
          <w:sz w:val="32"/>
          <w:szCs w:val="32"/>
        </w:rPr>
        <w:t>根据项目申报指南要求和评审结果，市科技局按照择优支持原则提出拟立项项目及资金分配建议；在符合保密规定的前提下，市科技局通过官方网站等渠道对拟立项</w:t>
      </w:r>
      <w:r>
        <w:rPr>
          <w:rFonts w:ascii="仿宋_GB2312" w:eastAsia="仿宋_GB2312" w:hAnsi="宋体" w:cs="宋体" w:hint="eastAsia"/>
          <w:spacing w:val="-11"/>
          <w:sz w:val="32"/>
          <w:szCs w:val="32"/>
        </w:rPr>
        <w:t>项目公示5个工作日。对公示无异议或异议核实不成立的予以立项。</w:t>
      </w:r>
    </w:p>
    <w:p w14:paraId="603CC8EA"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第十九条</w:t>
      </w:r>
      <w:r>
        <w:rPr>
          <w:rFonts w:ascii="仿宋_GB2312" w:eastAsia="仿宋_GB2312" w:hAnsi="宋体" w:cs="宋体" w:hint="eastAsia"/>
          <w:sz w:val="32"/>
          <w:szCs w:val="32"/>
        </w:rPr>
        <w:t xml:space="preserve"> </w:t>
      </w:r>
      <w:r>
        <w:rPr>
          <w:rFonts w:ascii="仿宋_GB2312" w:eastAsia="仿宋_GB2312" w:hAnsi="宋体" w:cs="宋体" w:hint="eastAsia"/>
          <w:b/>
          <w:bCs/>
          <w:sz w:val="32"/>
          <w:szCs w:val="32"/>
        </w:rPr>
        <w:t>任务书签订。</w:t>
      </w:r>
      <w:r>
        <w:rPr>
          <w:rFonts w:ascii="仿宋_GB2312" w:eastAsia="仿宋_GB2312" w:hAnsi="宋体" w:cs="宋体" w:hint="eastAsia"/>
          <w:sz w:val="32"/>
          <w:szCs w:val="32"/>
        </w:rPr>
        <w:t>市科技局与项目归口管理部门、项目牵头单位共同签订任务书；任务书内容须与项目申报书相一致，不得变更项目承担单位和项目负责人，不得降低考核指标。市财政局会同市科技局下达资金，除揭榜挂帅、定向委托、赛马制、非共识项目外，原则上市外参与单位经费分配额度不得过半。</w:t>
      </w:r>
    </w:p>
    <w:p w14:paraId="16F49FBD"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第二十条</w:t>
      </w:r>
      <w:r>
        <w:rPr>
          <w:rFonts w:ascii="仿宋_GB2312" w:eastAsia="仿宋_GB2312" w:hAnsi="宋体" w:cs="宋体" w:hint="eastAsia"/>
          <w:sz w:val="32"/>
          <w:szCs w:val="32"/>
        </w:rPr>
        <w:t xml:space="preserve"> </w:t>
      </w:r>
      <w:r>
        <w:rPr>
          <w:rFonts w:ascii="仿宋_GB2312" w:eastAsia="仿宋_GB2312" w:hAnsi="宋体" w:cs="宋体" w:hint="eastAsia"/>
          <w:b/>
          <w:bCs/>
          <w:sz w:val="32"/>
          <w:szCs w:val="32"/>
        </w:rPr>
        <w:t>撤销立项。</w:t>
      </w:r>
      <w:r>
        <w:rPr>
          <w:rFonts w:ascii="仿宋_GB2312" w:eastAsia="仿宋_GB2312" w:hAnsi="宋体" w:cs="宋体" w:hint="eastAsia"/>
          <w:sz w:val="32"/>
          <w:szCs w:val="32"/>
        </w:rPr>
        <w:t>存在以下情形的，应予撤销立项：</w:t>
      </w:r>
    </w:p>
    <w:p w14:paraId="41A0CA43" w14:textId="77777777" w:rsidR="00E02A81" w:rsidRDefault="00000000">
      <w:pPr>
        <w:shd w:val="clear" w:color="auto" w:fill="FFFFFF"/>
        <w:spacing w:line="580" w:lineRule="exact"/>
        <w:ind w:firstLineChars="200" w:firstLine="616"/>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（一）在项目申报阶段伪造或编造申报材料，骗取立项资格的；</w:t>
      </w:r>
    </w:p>
    <w:p w14:paraId="507C3372"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（二）未按相关要求提交并签订任务书及相关材料的；</w:t>
      </w:r>
    </w:p>
    <w:p w14:paraId="47CE84B7"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（三）在签订任务书阶段，项目承担单位书面申请撤销立项或发现其存在严重失信行为的；</w:t>
      </w:r>
    </w:p>
    <w:p w14:paraId="58C63453"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lastRenderedPageBreak/>
        <w:t>（四）已完成项目评审论证，在签订任务书阶段变更项目牵头单位和项目负责人的；</w:t>
      </w:r>
    </w:p>
    <w:p w14:paraId="46D237CF"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（五）存在操纵专家、项目管理专业机构等行为的；</w:t>
      </w:r>
    </w:p>
    <w:p w14:paraId="09B3CA02"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（六）存在撤销立项的其他情况。</w:t>
      </w:r>
    </w:p>
    <w:p w14:paraId="51595EFB" w14:textId="77777777" w:rsidR="00E02A81" w:rsidRDefault="00000000">
      <w:pPr>
        <w:shd w:val="clear" w:color="auto" w:fill="FFFFFF"/>
        <w:spacing w:line="580" w:lineRule="exact"/>
        <w:ind w:firstLineChars="200" w:firstLine="640"/>
        <w:rPr>
          <w:rFonts w:ascii="仿宋_GB2312" w:eastAsia="仿宋_GB2312" w:hAnsi="宋体" w:cs="宋体" w:hint="eastAsia"/>
          <w:bCs/>
          <w:kern w:val="0"/>
          <w:sz w:val="32"/>
          <w:szCs w:val="32"/>
        </w:rPr>
      </w:pPr>
      <w:r>
        <w:rPr>
          <w:rFonts w:ascii="仿宋_GB2312" w:eastAsia="仿宋_GB2312" w:hAnsi="宋体" w:cs="宋体" w:hint="eastAsia"/>
          <w:sz w:val="32"/>
          <w:szCs w:val="32"/>
        </w:rPr>
        <w:t>被撤销项目已下达支持资金的，财政资金按相关规定处理。</w:t>
      </w:r>
      <w:r>
        <w:rPr>
          <w:rFonts w:ascii="仿宋_GB2312" w:eastAsia="仿宋_GB2312" w:hAnsi="宋体" w:cs="宋体" w:hint="eastAsia"/>
          <w:bCs/>
          <w:kern w:val="0"/>
          <w:sz w:val="32"/>
          <w:szCs w:val="32"/>
        </w:rPr>
        <w:t xml:space="preserve"> </w:t>
      </w:r>
    </w:p>
    <w:p w14:paraId="6C9D9C1F" w14:textId="77777777" w:rsidR="00E02A81" w:rsidRDefault="00000000">
      <w:pPr>
        <w:shd w:val="clear" w:color="auto" w:fill="FFFFFF"/>
        <w:spacing w:beforeLines="50" w:before="156" w:afterLines="50" w:after="156" w:line="580" w:lineRule="exact"/>
        <w:jc w:val="center"/>
        <w:rPr>
          <w:rFonts w:ascii="黑体" w:eastAsia="黑体" w:hAnsi="黑体" w:cs="方正黑体_GBK" w:hint="eastAsia"/>
          <w:spacing w:val="18"/>
          <w:kern w:val="0"/>
          <w:sz w:val="32"/>
          <w:szCs w:val="32"/>
        </w:rPr>
      </w:pPr>
      <w:r>
        <w:rPr>
          <w:rFonts w:ascii="黑体" w:eastAsia="黑体" w:hAnsi="Times New Roman" w:cs="宋体" w:hint="eastAsia"/>
          <w:sz w:val="32"/>
          <w:szCs w:val="32"/>
        </w:rPr>
        <w:t>第四章</w:t>
      </w:r>
      <w:r>
        <w:rPr>
          <w:rFonts w:ascii="黑体" w:eastAsia="黑体" w:hAnsi="黑体" w:cs="方正黑体_GBK"/>
          <w:spacing w:val="18"/>
          <w:kern w:val="0"/>
          <w:sz w:val="32"/>
          <w:szCs w:val="32"/>
        </w:rPr>
        <w:t xml:space="preserve">  </w:t>
      </w:r>
      <w:r>
        <w:rPr>
          <w:rFonts w:ascii="黑体" w:eastAsia="黑体" w:hAnsi="黑体" w:cs="方正黑体_GBK" w:hint="eastAsia"/>
          <w:spacing w:val="18"/>
          <w:kern w:val="0"/>
          <w:sz w:val="32"/>
          <w:szCs w:val="32"/>
        </w:rPr>
        <w:t>实施管理</w:t>
      </w:r>
    </w:p>
    <w:p w14:paraId="757B4267"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 xml:space="preserve">第二十一条 </w:t>
      </w:r>
      <w:r>
        <w:rPr>
          <w:rFonts w:ascii="仿宋_GB2312" w:eastAsia="仿宋_GB2312" w:hAnsi="宋体" w:cs="宋体" w:hint="eastAsia"/>
          <w:sz w:val="32"/>
          <w:szCs w:val="32"/>
        </w:rPr>
        <w:t>项目承担单位应根据项目（课题）任务书确定的目标任务和分工，履行项目（课题）组织实施主体责任和义务，按进度完成任务目标，配合监督检查、绩效评价等工作。</w:t>
      </w:r>
    </w:p>
    <w:p w14:paraId="14AF4E0D"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第二十二条 重大事项报告。</w:t>
      </w:r>
      <w:r>
        <w:rPr>
          <w:rFonts w:ascii="仿宋_GB2312" w:eastAsia="仿宋_GB2312" w:hAnsi="宋体" w:cs="宋体" w:hint="eastAsia"/>
          <w:sz w:val="32"/>
          <w:szCs w:val="32"/>
        </w:rPr>
        <w:t>项目承担单位须履行重大事项报告制度，主要包括项目调整、项目终止等；项目承担单位不能履行此职责的，由项目归口管理部门向市科技局报送有关情况，并提出处理建议。</w:t>
      </w:r>
    </w:p>
    <w:p w14:paraId="2451FA1A"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第二十三条 项目年度报告。</w:t>
      </w:r>
      <w:r>
        <w:rPr>
          <w:rFonts w:ascii="仿宋_GB2312" w:eastAsia="仿宋_GB2312" w:hAnsi="宋体" w:cs="宋体" w:hint="eastAsia"/>
          <w:sz w:val="32"/>
          <w:szCs w:val="32"/>
        </w:rPr>
        <w:t>实施项目年度报告和中期检查制度。对市本级财政科技专项资金50万元以上的科研项目，项目牵头单位应于每年</w:t>
      </w:r>
      <w:r>
        <w:rPr>
          <w:rFonts w:ascii="仿宋_GB2312" w:eastAsia="仿宋_GB2312" w:hAnsi="宋体" w:cs="宋体"/>
          <w:sz w:val="32"/>
          <w:szCs w:val="32"/>
        </w:rPr>
        <w:t>11</w:t>
      </w:r>
      <w:r>
        <w:rPr>
          <w:rFonts w:ascii="仿宋_GB2312" w:eastAsia="仿宋_GB2312" w:hAnsi="宋体" w:cs="宋体" w:hint="eastAsia"/>
          <w:sz w:val="32"/>
          <w:szCs w:val="32"/>
        </w:rPr>
        <w:t>月底前将项目年度实施报告报送市科技局</w:t>
      </w:r>
      <w:bookmarkStart w:id="6" w:name="_Hlk202519204"/>
      <w:r>
        <w:rPr>
          <w:rFonts w:ascii="仿宋_GB2312" w:eastAsia="仿宋_GB2312" w:hAnsi="宋体" w:cs="宋体" w:hint="eastAsia"/>
          <w:sz w:val="32"/>
          <w:szCs w:val="32"/>
        </w:rPr>
        <w:t>。对市本级财政科技专项资金50万元及以下的科研项目，项目牵头单位应于每年11月底前将项目年度实施报告报送</w:t>
      </w:r>
      <w:bookmarkStart w:id="7" w:name="_Hlk202520022"/>
      <w:r>
        <w:rPr>
          <w:rFonts w:ascii="仿宋_GB2312" w:eastAsia="仿宋_GB2312" w:hAnsi="宋体" w:cs="宋体" w:hint="eastAsia"/>
          <w:sz w:val="32"/>
          <w:szCs w:val="32"/>
        </w:rPr>
        <w:t>项目归口管理部门</w:t>
      </w:r>
      <w:bookmarkEnd w:id="7"/>
      <w:r>
        <w:rPr>
          <w:rFonts w:ascii="仿宋_GB2312" w:eastAsia="仿宋_GB2312" w:hAnsi="宋体" w:cs="宋体" w:hint="eastAsia"/>
          <w:sz w:val="32"/>
          <w:szCs w:val="32"/>
        </w:rPr>
        <w:t>，</w:t>
      </w:r>
      <w:bookmarkEnd w:id="6"/>
      <w:r>
        <w:rPr>
          <w:rFonts w:ascii="仿宋_GB2312" w:eastAsia="仿宋_GB2312" w:hAnsi="宋体" w:cs="宋体" w:hint="eastAsia"/>
          <w:sz w:val="32"/>
          <w:szCs w:val="32"/>
        </w:rPr>
        <w:t>项目归口管理部门于每年12月底前向市科技局提交项目总体年度实施情况报告。</w:t>
      </w:r>
    </w:p>
    <w:p w14:paraId="77F485D1"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项目实施时间不足6个月的，可在下一年度一并上报。</w:t>
      </w:r>
    </w:p>
    <w:p w14:paraId="7ABEA2FA"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lastRenderedPageBreak/>
        <w:t>第二十四条 项目调整。</w:t>
      </w:r>
      <w:r>
        <w:rPr>
          <w:rFonts w:ascii="仿宋_GB2312" w:eastAsia="仿宋_GB2312" w:hAnsi="宋体" w:cs="宋体" w:hint="eastAsia"/>
          <w:sz w:val="32"/>
          <w:szCs w:val="32"/>
        </w:rPr>
        <w:t>项目实施过程中须对以下重大事项作出必要调整的，应按程序报批或报备。确有必要的组织专家进行论证。</w:t>
      </w:r>
    </w:p>
    <w:p w14:paraId="7E7F3AFD"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（一）涉及项目实施周期及项目研究目标和考核指标等重大调整事项的，项目牵头单位及时提出申请，经项目归口管理部门初审后，报市科技局审核批复。</w:t>
      </w:r>
    </w:p>
    <w:p w14:paraId="72070AF2"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项目牵头单位、项目负责人原则上不允许变更。因机构改革、撤并等特殊情况确须调整的，项目牵头单位应及时提交情况说明并提供保证完成科研任务的承诺，经项目归口管理部门初审后，报市科技局审核批复。</w:t>
      </w:r>
    </w:p>
    <w:p w14:paraId="133BDCAE"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（三）项目因客观原因不能按期完成，须申请延期的，项目牵头单位应在项目执行期内提出延期申请，经项目归口管理部门初审后，报市科技局作出批复意见，项目延期只能申请1次，一般不超过1年。</w:t>
      </w:r>
    </w:p>
    <w:p w14:paraId="7A8DAEF0"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四）项目实施过程中研究方案、技术路线变更的，由项目牵头单位组织专家进行论证；涉及参与单位、参与人员变更的，项目人员和项目单位协商一致可自主变更，变更事项在确保不降低考核指标的前提下，由项目牵头单位逐级向项目归口管理部门和市科技局备案。</w:t>
      </w:r>
    </w:p>
    <w:p w14:paraId="287D2214"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（五）涉及经费预算调整的，按照呼和浩特市财政科技专项资金管理的有关规定执行。</w:t>
      </w:r>
    </w:p>
    <w:p w14:paraId="63911A87"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lastRenderedPageBreak/>
        <w:t>第二十五条 项目终止。</w:t>
      </w:r>
      <w:r>
        <w:rPr>
          <w:rFonts w:ascii="仿宋_GB2312" w:eastAsia="仿宋_GB2312" w:hAnsi="宋体" w:cs="宋体" w:hint="eastAsia"/>
          <w:sz w:val="32"/>
          <w:szCs w:val="32"/>
        </w:rPr>
        <w:t>项目实施过程中有以下情形之一的，项目牵头单位应及时提出终止项目，不能主动申请的由项目归口管理部门提出项目终止建议，报市科技局审核批复。市科技局根据实际情况可直接作出终止项目的决定。</w:t>
      </w:r>
    </w:p>
    <w:p w14:paraId="50B38EE6" w14:textId="77777777" w:rsidR="00E02A81" w:rsidRDefault="00000000">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（一）经实践证明，项目无法实现任务书约定的任务且无改进办法的；</w:t>
      </w:r>
    </w:p>
    <w:p w14:paraId="137DEFF0" w14:textId="77777777" w:rsidR="00E02A81" w:rsidRDefault="00000000">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（二）完成项目任务所需的资金、原材料、人员、支撑条件等未落实或发生改变导致项目无法正常进行的；</w:t>
      </w:r>
    </w:p>
    <w:p w14:paraId="616A909E" w14:textId="77777777" w:rsidR="00E02A81" w:rsidRDefault="00000000">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（三）项目实施过程中出现严重问题，不按规定进行整改或拒绝整改的；</w:t>
      </w:r>
    </w:p>
    <w:p w14:paraId="503AF3B6"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（四）因国家、自治区或呼和浩特市的产业政策、科技政策、市场等发生重大变化，项目无法继续实施的；</w:t>
      </w:r>
    </w:p>
    <w:p w14:paraId="00A45FB1"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（五）通过伪造或者编造申请材料，骗取立项的；</w:t>
      </w:r>
    </w:p>
    <w:p w14:paraId="3CF7C339"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（六）项目承担单位因破产等原因导致项目无法实施的；</w:t>
      </w:r>
    </w:p>
    <w:p w14:paraId="080924D9"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（七）项目执行中出现严重纠纷或严重科研失信行为的；</w:t>
      </w:r>
    </w:p>
    <w:p w14:paraId="61D74E2E"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（八）不配合项目实施管理和监督检查</w:t>
      </w:r>
      <w:r>
        <w:rPr>
          <w:rFonts w:ascii="仿宋_GB2312" w:eastAsia="仿宋_GB2312" w:hAnsi="宋体" w:cs="宋体" w:hint="eastAsia"/>
          <w:kern w:val="0"/>
          <w:sz w:val="32"/>
          <w:szCs w:val="32"/>
        </w:rPr>
        <w:t>的</w:t>
      </w:r>
      <w:r>
        <w:rPr>
          <w:rFonts w:ascii="仿宋_GB2312" w:eastAsia="仿宋_GB2312" w:hAnsi="宋体" w:cs="宋体" w:hint="eastAsia"/>
          <w:sz w:val="32"/>
          <w:szCs w:val="32"/>
        </w:rPr>
        <w:t>；</w:t>
      </w:r>
    </w:p>
    <w:p w14:paraId="1BDF2124"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（九）项目财政经费使用不符合要求，存在截留、挪用、挤占等行为的；</w:t>
      </w:r>
    </w:p>
    <w:p w14:paraId="5A07212B"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（十）项目组织管理不力导致项目无法进行的；</w:t>
      </w:r>
    </w:p>
    <w:p w14:paraId="5E904636" w14:textId="77777777" w:rsidR="00E02A81" w:rsidRDefault="00000000">
      <w:pPr>
        <w:shd w:val="clear" w:color="auto" w:fill="FFFFFF"/>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（十一）存在其他行为导致项目无法进行的。</w:t>
      </w:r>
    </w:p>
    <w:p w14:paraId="5FE26C6B"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第二十六条 项目终止处理。</w:t>
      </w:r>
      <w:r>
        <w:rPr>
          <w:rFonts w:ascii="仿宋_GB2312" w:eastAsia="仿宋_GB2312" w:hAnsi="宋体" w:cs="宋体" w:hint="eastAsia"/>
          <w:sz w:val="32"/>
          <w:szCs w:val="32"/>
        </w:rPr>
        <w:t>项目牵头单位应对已开展的工作、经费使用、阶段性成果等情况作出书面报告，并作出经费决</w:t>
      </w:r>
      <w:r>
        <w:rPr>
          <w:rFonts w:ascii="仿宋_GB2312" w:eastAsia="仿宋_GB2312" w:hAnsi="宋体" w:cs="宋体" w:hint="eastAsia"/>
          <w:sz w:val="32"/>
          <w:szCs w:val="32"/>
        </w:rPr>
        <w:lastRenderedPageBreak/>
        <w:t>算或审计报告，编制资产清单，经项目归口管理部门初审后，报市科技局核查，财政资金按相关办法执行。</w:t>
      </w:r>
    </w:p>
    <w:p w14:paraId="0C6626CE" w14:textId="77777777" w:rsidR="00E02A81" w:rsidRDefault="00000000">
      <w:pPr>
        <w:shd w:val="clear" w:color="auto" w:fill="FFFFFF"/>
        <w:spacing w:beforeLines="50" w:before="156" w:afterLines="50" w:after="156" w:line="580" w:lineRule="exact"/>
        <w:jc w:val="center"/>
        <w:rPr>
          <w:rFonts w:ascii="黑体" w:eastAsia="黑体" w:hAnsi="黑体" w:cs="方正黑体_GBK" w:hint="eastAsia"/>
          <w:bCs/>
          <w:spacing w:val="18"/>
          <w:kern w:val="0"/>
          <w:sz w:val="32"/>
          <w:szCs w:val="32"/>
        </w:rPr>
      </w:pPr>
      <w:r>
        <w:rPr>
          <w:rFonts w:ascii="黑体" w:eastAsia="黑体" w:hAnsi="Times New Roman" w:cs="宋体" w:hint="eastAsia"/>
          <w:sz w:val="32"/>
          <w:szCs w:val="32"/>
        </w:rPr>
        <w:t>第五章</w:t>
      </w:r>
      <w:r>
        <w:rPr>
          <w:rFonts w:ascii="黑体" w:eastAsia="黑体" w:hAnsi="黑体" w:cs="方正黑体_GBK"/>
          <w:b/>
          <w:bCs/>
          <w:spacing w:val="18"/>
          <w:kern w:val="0"/>
          <w:sz w:val="32"/>
          <w:szCs w:val="32"/>
        </w:rPr>
        <w:t xml:space="preserve">  </w:t>
      </w:r>
      <w:r>
        <w:rPr>
          <w:rFonts w:ascii="黑体" w:eastAsia="黑体" w:hAnsi="Times New Roman" w:cs="宋体" w:hint="eastAsia"/>
          <w:sz w:val="32"/>
          <w:szCs w:val="32"/>
        </w:rPr>
        <w:t>综合绩效评价</w:t>
      </w:r>
    </w:p>
    <w:p w14:paraId="45EB6FD2" w14:textId="77777777" w:rsidR="00E02A81" w:rsidRDefault="00000000">
      <w:pPr>
        <w:spacing w:line="580" w:lineRule="exact"/>
        <w:ind w:firstLineChars="200" w:firstLine="643"/>
        <w:rPr>
          <w:rFonts w:ascii="仿宋_GB2312" w:eastAsia="仿宋_GB2312" w:hAnsi="宋体" w:cs="宋体" w:hint="eastAsia"/>
          <w:sz w:val="32"/>
          <w:szCs w:val="32"/>
        </w:rPr>
      </w:pPr>
      <w:r>
        <w:rPr>
          <w:rFonts w:ascii="仿宋_GB2312" w:eastAsia="仿宋_GB2312" w:hAnsi="Calibri" w:cs="Times New Roman" w:hint="eastAsia"/>
          <w:b/>
          <w:sz w:val="32"/>
          <w:szCs w:val="32"/>
        </w:rPr>
        <w:t>第二十七条 综合绩效评价内容。</w:t>
      </w:r>
      <w:r>
        <w:rPr>
          <w:rFonts w:ascii="仿宋_GB2312" w:eastAsia="仿宋_GB2312" w:hAnsi="宋体" w:cs="宋体" w:hint="eastAsia"/>
          <w:sz w:val="32"/>
          <w:szCs w:val="32"/>
        </w:rPr>
        <w:t>对任务书约定需要综合绩效评价的项目，实施一次性综合绩效评价。综合绩效评价重点包括项目任务完成情况和经费管理使用情况等。</w:t>
      </w:r>
    </w:p>
    <w:p w14:paraId="742DB3F6" w14:textId="77777777" w:rsidR="00E02A81" w:rsidRDefault="00000000">
      <w:pPr>
        <w:spacing w:line="580" w:lineRule="exact"/>
        <w:ind w:firstLineChars="200" w:firstLine="643"/>
        <w:rPr>
          <w:rFonts w:ascii="仿宋_GB2312" w:eastAsia="仿宋_GB2312" w:hAnsi="宋体" w:cs="宋体" w:hint="eastAsia"/>
          <w:sz w:val="32"/>
          <w:szCs w:val="32"/>
        </w:rPr>
      </w:pPr>
      <w:r>
        <w:rPr>
          <w:rFonts w:ascii="仿宋_GB2312" w:eastAsia="仿宋_GB2312" w:hAnsi="Calibri" w:cs="Times New Roman" w:hint="eastAsia"/>
          <w:b/>
          <w:sz w:val="32"/>
          <w:szCs w:val="32"/>
        </w:rPr>
        <w:t>第二十八条 综合绩效评价时限。</w:t>
      </w:r>
      <w:r>
        <w:rPr>
          <w:rFonts w:ascii="仿宋_GB2312" w:eastAsia="仿宋_GB2312" w:hAnsi="宋体" w:cs="宋体" w:hint="eastAsia"/>
          <w:sz w:val="32"/>
          <w:szCs w:val="32"/>
        </w:rPr>
        <w:t>项目牵头单位应在项目实施期满3个月内提出综合绩效评价申请，项目下设课题的须由项目牵头单位完成全部课题绩效评价后方可提出项目综合绩效评价申请；项目未下设课题的，直接开展项目综合绩效评价。综合绩效评价一般应在收到综合绩效评价申请后3个月内完成。在项目实施期已全面完成任务书规定各项指标的，可提前申请综合绩效评价，提前时间原则上不超过6个月。</w:t>
      </w:r>
    </w:p>
    <w:p w14:paraId="185DDB0E" w14:textId="77777777" w:rsidR="00E02A81" w:rsidRDefault="00000000">
      <w:pPr>
        <w:spacing w:line="580" w:lineRule="exact"/>
        <w:ind w:firstLineChars="200" w:firstLine="643"/>
        <w:rPr>
          <w:rFonts w:ascii="仿宋_GB2312" w:eastAsia="仿宋_GB2312" w:hAnsi="宋体" w:cs="宋体" w:hint="eastAsia"/>
          <w:sz w:val="32"/>
          <w:szCs w:val="32"/>
        </w:rPr>
      </w:pPr>
      <w:r>
        <w:rPr>
          <w:rFonts w:ascii="仿宋_GB2312" w:eastAsia="仿宋_GB2312" w:hAnsi="Calibri" w:cs="Times New Roman" w:hint="eastAsia"/>
          <w:b/>
          <w:sz w:val="32"/>
          <w:szCs w:val="32"/>
        </w:rPr>
        <w:t>第二十九条 综合绩效评价方式。</w:t>
      </w:r>
      <w:r>
        <w:rPr>
          <w:rFonts w:ascii="仿宋_GB2312" w:eastAsia="仿宋_GB2312" w:hAnsi="宋体" w:cs="宋体" w:hint="eastAsia"/>
          <w:sz w:val="32"/>
          <w:szCs w:val="32"/>
        </w:rPr>
        <w:t>根据不同项目类型，可采取同行评议、第三方评估和测试、用户评价、现场核查等方式组织开展项目综合绩效评价。</w:t>
      </w:r>
    </w:p>
    <w:p w14:paraId="63A97722" w14:textId="77777777" w:rsidR="00E02A81" w:rsidRDefault="00000000">
      <w:pPr>
        <w:spacing w:line="580" w:lineRule="exact"/>
        <w:ind w:firstLineChars="200" w:firstLine="643"/>
        <w:rPr>
          <w:rFonts w:ascii="仿宋_GB2312" w:eastAsia="仿宋_GB2312" w:hAnsi="宋体" w:cs="宋体" w:hint="eastAsia"/>
          <w:sz w:val="32"/>
          <w:szCs w:val="32"/>
        </w:rPr>
      </w:pPr>
      <w:r>
        <w:rPr>
          <w:rFonts w:ascii="仿宋_GB2312" w:eastAsia="仿宋_GB2312" w:hAnsi="Calibri" w:cs="Times New Roman" w:hint="eastAsia"/>
          <w:b/>
          <w:sz w:val="32"/>
          <w:szCs w:val="32"/>
        </w:rPr>
        <w:t>第三十条 综合绩效评价组织。</w:t>
      </w:r>
      <w:r>
        <w:rPr>
          <w:rFonts w:ascii="仿宋_GB2312" w:eastAsia="仿宋_GB2312" w:hAnsi="宋体" w:cs="宋体" w:hint="eastAsia"/>
          <w:sz w:val="32"/>
          <w:szCs w:val="32"/>
        </w:rPr>
        <w:t>综合绩效评价组织单位（以</w:t>
      </w:r>
      <w:r>
        <w:rPr>
          <w:rFonts w:ascii="仿宋_GB2312" w:eastAsia="仿宋_GB2312" w:hAnsi="宋体" w:cs="宋体" w:hint="eastAsia"/>
          <w:spacing w:val="-6"/>
          <w:sz w:val="32"/>
          <w:szCs w:val="32"/>
        </w:rPr>
        <w:t>下简称“组织单位”）主要包括项目管理专业机构、项目归口管理部门。</w:t>
      </w:r>
    </w:p>
    <w:p w14:paraId="774C4564" w14:textId="77777777" w:rsidR="00E02A81" w:rsidRDefault="00000000">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（一）综合绩效评价评前审查。归口管理部门收到综合绩效评价申请后，对项目承担单位提交的相关资料完整性、合规性开</w:t>
      </w:r>
      <w:r>
        <w:rPr>
          <w:rFonts w:ascii="仿宋_GB2312" w:eastAsia="仿宋_GB2312" w:hAnsi="宋体" w:cs="宋体" w:hint="eastAsia"/>
          <w:sz w:val="32"/>
          <w:szCs w:val="32"/>
        </w:rPr>
        <w:lastRenderedPageBreak/>
        <w:t>展评前审查。评前审查合格的项目，方可由组织单位开展综合绩效评价。</w:t>
      </w:r>
    </w:p>
    <w:p w14:paraId="440EF8B3" w14:textId="77777777" w:rsidR="00E02A81" w:rsidRDefault="00000000">
      <w:pPr>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（二）专项经费50万元以上的项目，由项目管理专业机构组织开展综合绩效评价；</w:t>
      </w:r>
    </w:p>
    <w:p w14:paraId="0D67D01C" w14:textId="77777777" w:rsidR="00E02A81" w:rsidRDefault="00000000">
      <w:pPr>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（三）专项经费50万元及以下的项目，由项目归口管理部门组织开展综合绩效评价。</w:t>
      </w:r>
    </w:p>
    <w:p w14:paraId="62A776EB" w14:textId="77777777" w:rsidR="00E02A81" w:rsidRDefault="00000000">
      <w:pPr>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（四）项目归口管理部门为市直属有关部门、高校院所的项目，由项目管理专业机构组织开展综合绩效评价；</w:t>
      </w:r>
    </w:p>
    <w:p w14:paraId="4D8A10C7" w14:textId="77777777" w:rsidR="00E02A81" w:rsidRDefault="00000000">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基础研究计划等项目按照相关规定执行。</w:t>
      </w:r>
    </w:p>
    <w:p w14:paraId="44B2825A" w14:textId="77777777" w:rsidR="00E02A81" w:rsidRDefault="00000000">
      <w:pPr>
        <w:spacing w:line="580" w:lineRule="exact"/>
        <w:ind w:firstLineChars="200" w:firstLine="643"/>
        <w:rPr>
          <w:rFonts w:ascii="仿宋_GB2312" w:eastAsia="仿宋_GB2312" w:hAnsi="宋体" w:cs="宋体" w:hint="eastAsia"/>
          <w:sz w:val="32"/>
          <w:szCs w:val="32"/>
        </w:rPr>
      </w:pPr>
      <w:r>
        <w:rPr>
          <w:rFonts w:ascii="仿宋_GB2312" w:eastAsia="仿宋_GB2312" w:hAnsi="Calibri" w:cs="Times New Roman" w:hint="eastAsia"/>
          <w:b/>
          <w:sz w:val="32"/>
          <w:szCs w:val="32"/>
        </w:rPr>
        <w:t>第三十一条 综合绩效评价结论。</w:t>
      </w:r>
      <w:r>
        <w:rPr>
          <w:rFonts w:ascii="仿宋_GB2312" w:eastAsia="仿宋_GB2312" w:hAnsi="宋体" w:cs="宋体" w:hint="eastAsia"/>
          <w:sz w:val="32"/>
          <w:szCs w:val="32"/>
        </w:rPr>
        <w:t>包括通过、不通过。</w:t>
      </w:r>
    </w:p>
    <w:p w14:paraId="0F3F8B4B" w14:textId="77777777" w:rsidR="00E02A81" w:rsidRDefault="00000000">
      <w:pPr>
        <w:spacing w:line="580" w:lineRule="exact"/>
        <w:ind w:firstLineChars="200" w:firstLine="640"/>
        <w:rPr>
          <w:rFonts w:ascii="仿宋_GB2312" w:eastAsia="仿宋_GB2312" w:hAnsi="宋体" w:cs="宋体" w:hint="eastAsia"/>
          <w:spacing w:val="-11"/>
          <w:sz w:val="32"/>
          <w:szCs w:val="32"/>
        </w:rPr>
      </w:pPr>
      <w:r>
        <w:rPr>
          <w:rFonts w:ascii="仿宋_GB2312" w:eastAsia="仿宋_GB2312" w:hAnsi="宋体" w:cs="宋体" w:hint="eastAsia"/>
          <w:sz w:val="32"/>
          <w:szCs w:val="32"/>
        </w:rPr>
        <w:t>（一）按期完成任务书规定的主要目标任务且经费使用符合</w:t>
      </w:r>
      <w:r>
        <w:rPr>
          <w:rFonts w:ascii="仿宋_GB2312" w:eastAsia="仿宋_GB2312" w:hAnsi="宋体" w:cs="宋体" w:hint="eastAsia"/>
          <w:spacing w:val="-11"/>
          <w:sz w:val="32"/>
          <w:szCs w:val="32"/>
        </w:rPr>
        <w:t>规定，评价等级为优秀、良好或合格的，综合绩效评价结论为“通过”。</w:t>
      </w:r>
    </w:p>
    <w:p w14:paraId="13CF727F" w14:textId="77777777" w:rsidR="00E02A81" w:rsidRDefault="00000000">
      <w:pPr>
        <w:spacing w:line="580" w:lineRule="exact"/>
        <w:ind w:firstLineChars="200" w:firstLine="616"/>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（二）凡存在以下情形之一的，综合绩效评价结论为“不通过”。</w:t>
      </w:r>
    </w:p>
    <w:p w14:paraId="18683919" w14:textId="77777777" w:rsidR="00E02A81" w:rsidRDefault="00000000">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1.任务书约定的主要目标和任务未完成的；</w:t>
      </w:r>
    </w:p>
    <w:p w14:paraId="71632814" w14:textId="77777777" w:rsidR="00E02A81" w:rsidRDefault="00000000">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2.提供的文件、资料、数据不真实，存在弄虚作假的；</w:t>
      </w:r>
    </w:p>
    <w:p w14:paraId="040589B8" w14:textId="77777777" w:rsidR="00E02A81" w:rsidRDefault="00000000">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3.不配合监督检查、中期绩效评价，未按相关要求报批重大事项的；</w:t>
      </w:r>
    </w:p>
    <w:p w14:paraId="63811475" w14:textId="77777777" w:rsidR="00E02A81" w:rsidRDefault="00000000">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 xml:space="preserve">4.财政专项经费使用存在严重问题； </w:t>
      </w:r>
    </w:p>
    <w:p w14:paraId="69FACAAE" w14:textId="77777777" w:rsidR="00E02A81" w:rsidRDefault="00000000">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5.不符合通过综合绩效评价的其他情况。</w:t>
      </w:r>
    </w:p>
    <w:p w14:paraId="553E70EB" w14:textId="77777777" w:rsidR="00E02A81" w:rsidRDefault="00000000">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项目综合绩效评价结论为“通过”的，其结余资金按规定留归项目承担单位使用，统筹用于科研活动的直接支出。结论为“不通过”的，财政资金按相关规定处理。</w:t>
      </w:r>
    </w:p>
    <w:p w14:paraId="577EBCF0" w14:textId="77777777" w:rsidR="00E02A81" w:rsidRDefault="00000000">
      <w:pPr>
        <w:spacing w:line="560" w:lineRule="exact"/>
        <w:ind w:firstLineChars="200" w:firstLine="643"/>
        <w:rPr>
          <w:rFonts w:ascii="仿宋_GB2312" w:eastAsia="仿宋_GB2312" w:hAnsi="宋体" w:cs="宋体" w:hint="eastAsia"/>
          <w:sz w:val="32"/>
          <w:szCs w:val="32"/>
        </w:rPr>
      </w:pPr>
      <w:r>
        <w:rPr>
          <w:rFonts w:ascii="仿宋_GB2312" w:eastAsia="仿宋_GB2312" w:hAnsi="Calibri" w:cs="Times New Roman" w:hint="eastAsia"/>
          <w:b/>
          <w:sz w:val="32"/>
          <w:szCs w:val="32"/>
        </w:rPr>
        <w:lastRenderedPageBreak/>
        <w:t>第三十二条 暂缓和整改。</w:t>
      </w:r>
      <w:r>
        <w:rPr>
          <w:rFonts w:ascii="仿宋_GB2312" w:eastAsia="仿宋_GB2312" w:hAnsi="宋体" w:cs="宋体" w:hint="eastAsia"/>
          <w:sz w:val="32"/>
          <w:szCs w:val="32"/>
        </w:rPr>
        <w:t>对提供资料不详、难以判断等导致综合绩效评价结论争议较大的项目，可暂缓形成综合绩效评价结论。项目牵头单位须在暂缓之日起3个月内补充资料或整改后，重新申请综合绩效评价，暂缓最多1次，再次评价仍存在结论争议较大的，结论为“不通过”。暂缓项目不得评价为“优秀”。</w:t>
      </w:r>
    </w:p>
    <w:p w14:paraId="34232DA9" w14:textId="77777777" w:rsidR="00E02A81" w:rsidRDefault="00000000">
      <w:pPr>
        <w:spacing w:line="560" w:lineRule="exact"/>
        <w:ind w:firstLineChars="200" w:firstLine="643"/>
        <w:rPr>
          <w:rFonts w:ascii="仿宋_GB2312" w:eastAsia="仿宋_GB2312" w:hAnsi="宋体" w:cs="宋体" w:hint="eastAsia"/>
          <w:sz w:val="32"/>
          <w:szCs w:val="32"/>
        </w:rPr>
      </w:pPr>
      <w:r>
        <w:rPr>
          <w:rFonts w:ascii="仿宋_GB2312" w:eastAsia="仿宋_GB2312" w:hAnsi="Calibri" w:cs="Times New Roman" w:hint="eastAsia"/>
          <w:b/>
          <w:sz w:val="32"/>
          <w:szCs w:val="32"/>
        </w:rPr>
        <w:t>第三十三条 结论反馈。</w:t>
      </w:r>
      <w:r>
        <w:rPr>
          <w:rFonts w:ascii="仿宋_GB2312" w:eastAsia="仿宋_GB2312" w:hAnsi="宋体" w:cs="宋体" w:hint="eastAsia"/>
          <w:sz w:val="32"/>
          <w:szCs w:val="32"/>
        </w:rPr>
        <w:t>项目综合绩效评价工作结束后3个月内，项目管理专业机构将项目综合绩效评价结果汇总报市科技局，定期将项目综合绩效评价结果向社会公开。</w:t>
      </w:r>
    </w:p>
    <w:p w14:paraId="449B8A81" w14:textId="77777777" w:rsidR="00E02A81" w:rsidRDefault="00000000">
      <w:pPr>
        <w:spacing w:line="560" w:lineRule="exact"/>
        <w:ind w:firstLineChars="200" w:firstLine="643"/>
        <w:rPr>
          <w:rFonts w:ascii="仿宋_GB2312" w:eastAsia="仿宋_GB2312" w:hAnsi="宋体" w:cs="宋体" w:hint="eastAsia"/>
          <w:sz w:val="32"/>
          <w:szCs w:val="32"/>
        </w:rPr>
      </w:pPr>
      <w:r>
        <w:rPr>
          <w:rFonts w:ascii="仿宋_GB2312" w:eastAsia="仿宋_GB2312" w:hAnsi="Calibri" w:cs="Times New Roman" w:hint="eastAsia"/>
          <w:b/>
          <w:sz w:val="32"/>
          <w:szCs w:val="32"/>
        </w:rPr>
        <w:t>第三十四条 科技成果登记。</w:t>
      </w:r>
      <w:r>
        <w:rPr>
          <w:rFonts w:ascii="仿宋_GB2312" w:eastAsia="仿宋_GB2312" w:hAnsi="宋体" w:cs="宋体" w:hint="eastAsia"/>
          <w:sz w:val="32"/>
          <w:szCs w:val="32"/>
        </w:rPr>
        <w:t>项目绩效评价结论为通过的，应在1个月内由项目牵头单位办理科技成果登记。项目形成的知识产权归属、转化和使用，按照事先签署协议执行，无相关协议的，按照国家、自治区和呼和浩特市有关法律法规及政策执行。</w:t>
      </w:r>
    </w:p>
    <w:p w14:paraId="1E1D5619" w14:textId="77777777" w:rsidR="00E02A81" w:rsidRDefault="00000000">
      <w:pPr>
        <w:spacing w:beforeLines="50" w:before="156" w:afterLines="50" w:after="156" w:line="560" w:lineRule="exact"/>
        <w:jc w:val="center"/>
        <w:rPr>
          <w:rFonts w:ascii="黑体" w:eastAsia="黑体" w:hAnsi="黑体" w:cs="方正黑体_GBK" w:hint="eastAsia"/>
          <w:bCs/>
          <w:spacing w:val="18"/>
          <w:kern w:val="0"/>
          <w:sz w:val="32"/>
          <w:szCs w:val="32"/>
        </w:rPr>
      </w:pPr>
      <w:r>
        <w:rPr>
          <w:rFonts w:ascii="黑体" w:eastAsia="黑体" w:hAnsi="黑体" w:cs="宋体" w:hint="eastAsia"/>
          <w:sz w:val="32"/>
          <w:szCs w:val="32"/>
        </w:rPr>
        <w:t>第六章</w:t>
      </w:r>
      <w:r>
        <w:rPr>
          <w:rFonts w:ascii="黑体" w:eastAsia="黑体" w:hAnsi="黑体" w:cs="方正黑体_GBK"/>
          <w:b/>
          <w:bCs/>
          <w:spacing w:val="18"/>
          <w:kern w:val="0"/>
          <w:sz w:val="32"/>
          <w:szCs w:val="32"/>
        </w:rPr>
        <w:t xml:space="preserve">  </w:t>
      </w:r>
      <w:r>
        <w:rPr>
          <w:rFonts w:ascii="黑体" w:eastAsia="黑体" w:hAnsi="Times New Roman" w:cs="宋体" w:hint="eastAsia"/>
          <w:sz w:val="32"/>
          <w:szCs w:val="32"/>
        </w:rPr>
        <w:t>监督与诚信管理</w:t>
      </w:r>
    </w:p>
    <w:p w14:paraId="667CD1C0" w14:textId="77777777" w:rsidR="00E02A81" w:rsidRDefault="00000000">
      <w:pPr>
        <w:shd w:val="clear" w:color="auto" w:fill="FFFFFF"/>
        <w:spacing w:line="560" w:lineRule="exact"/>
        <w:ind w:firstLineChars="200" w:firstLine="643"/>
        <w:rPr>
          <w:rFonts w:ascii="仿宋_GB2312" w:eastAsia="仿宋_GB2312" w:hAnsi="宋体" w:cs="宋体" w:hint="eastAsia"/>
          <w:spacing w:val="-11"/>
          <w:sz w:val="32"/>
          <w:szCs w:val="32"/>
        </w:rPr>
      </w:pPr>
      <w:r>
        <w:rPr>
          <w:rFonts w:ascii="仿宋_GB2312" w:eastAsia="仿宋_GB2312" w:hAnsi="宋体" w:cs="宋体" w:hint="eastAsia"/>
          <w:b/>
          <w:sz w:val="32"/>
          <w:szCs w:val="32"/>
        </w:rPr>
        <w:t xml:space="preserve">第三十五条 </w:t>
      </w:r>
      <w:r>
        <w:rPr>
          <w:rFonts w:ascii="仿宋_GB2312" w:eastAsia="仿宋_GB2312" w:hAnsi="宋体" w:cs="宋体" w:hint="eastAsia"/>
          <w:sz w:val="32"/>
          <w:szCs w:val="32"/>
        </w:rPr>
        <w:t>建立全过程嵌入式的监督检查模式。科研诚信管理覆盖项目申报、评审、立项、专家选用、项目实施、综合绩效评价全过程，相关责任主体要信守承诺、履行义务、遵守科学技术活动规范等。监督检查工作以呼和浩特市科技计划相关制度、项目申报指南、任务书、合作协议和科研诚信承诺书等作为依据，加强监督检查工作协同和关键环节管理，避免重复和多头检查。</w:t>
      </w:r>
      <w:r>
        <w:rPr>
          <w:rFonts w:ascii="仿宋_GB2312" w:eastAsia="仿宋_GB2312" w:hAnsi="宋体" w:cs="宋体" w:hint="eastAsia"/>
          <w:spacing w:val="-11"/>
          <w:sz w:val="32"/>
          <w:szCs w:val="32"/>
        </w:rPr>
        <w:t>在项目实施期内，除特殊情况外，现场监督检查不超过1次。</w:t>
      </w:r>
    </w:p>
    <w:p w14:paraId="5D879654" w14:textId="77777777" w:rsidR="00E02A81" w:rsidRDefault="00000000">
      <w:pPr>
        <w:shd w:val="clear" w:color="auto" w:fill="FFFFFF"/>
        <w:spacing w:line="560" w:lineRule="exact"/>
        <w:ind w:firstLineChars="200" w:firstLine="643"/>
        <w:rPr>
          <w:rFonts w:ascii="仿宋_GB2312" w:eastAsia="仿宋_GB2312" w:hAnsi="宋体" w:cs="宋体" w:hint="eastAsia"/>
          <w:b/>
          <w:sz w:val="32"/>
          <w:szCs w:val="32"/>
        </w:rPr>
      </w:pPr>
      <w:r>
        <w:rPr>
          <w:rFonts w:ascii="仿宋_GB2312" w:eastAsia="仿宋_GB2312" w:hAnsi="宋体" w:cs="宋体" w:hint="eastAsia"/>
          <w:b/>
          <w:sz w:val="32"/>
          <w:szCs w:val="32"/>
        </w:rPr>
        <w:t xml:space="preserve">第三十六条 </w:t>
      </w:r>
      <w:r>
        <w:rPr>
          <w:rFonts w:ascii="仿宋_GB2312" w:eastAsia="仿宋_GB2312" w:hAnsi="宋体" w:cs="宋体" w:hint="eastAsia"/>
          <w:sz w:val="32"/>
          <w:szCs w:val="32"/>
        </w:rPr>
        <w:t>因主观因素造成项目终止的、综合绩效评价结论为“不通过”的，按相关规定处理。</w:t>
      </w:r>
    </w:p>
    <w:p w14:paraId="359EFDB7"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lastRenderedPageBreak/>
        <w:t xml:space="preserve">第三十七条 </w:t>
      </w:r>
      <w:r>
        <w:rPr>
          <w:rFonts w:ascii="仿宋_GB2312" w:eastAsia="仿宋_GB2312" w:hAnsi="宋体" w:cs="宋体" w:hint="eastAsia"/>
          <w:sz w:val="32"/>
          <w:szCs w:val="32"/>
        </w:rPr>
        <w:t>项目牵头单位、项目负责人、咨询专家须签署科研诚信承诺书，明确承诺事项和违背承诺责任。对项目申报单位及其法人、项目负责人开展立项前信用审核；专家实行利益回避制度，从严管理和使用评审专家。</w:t>
      </w:r>
    </w:p>
    <w:p w14:paraId="2F783038" w14:textId="77777777" w:rsidR="00E02A81" w:rsidRDefault="00000000">
      <w:pPr>
        <w:shd w:val="clear" w:color="auto" w:fill="FFFFFF"/>
        <w:spacing w:line="580" w:lineRule="exact"/>
        <w:ind w:firstLineChars="200" w:firstLine="643"/>
        <w:rPr>
          <w:rFonts w:ascii="仿宋_GB2312" w:eastAsia="仿宋_GB2312" w:hAnsi="宋体" w:cs="宋体" w:hint="eastAsia"/>
          <w:sz w:val="32"/>
          <w:szCs w:val="32"/>
        </w:rPr>
      </w:pPr>
      <w:r>
        <w:rPr>
          <w:rFonts w:ascii="仿宋_GB2312" w:eastAsia="仿宋_GB2312" w:hAnsi="宋体" w:cs="宋体" w:hint="eastAsia"/>
          <w:b/>
          <w:sz w:val="32"/>
          <w:szCs w:val="32"/>
        </w:rPr>
        <w:t>第三十八条</w:t>
      </w:r>
      <w:r>
        <w:rPr>
          <w:rFonts w:ascii="仿宋_GB2312" w:eastAsia="仿宋_GB2312" w:hAnsi="宋体" w:cs="宋体" w:hint="eastAsia"/>
          <w:sz w:val="32"/>
          <w:szCs w:val="32"/>
        </w:rPr>
        <w:t xml:space="preserve"> 营造鼓励创新、宽容失败的氛围，涉及容错免责事项的，按照《内蒙古自治区科技创新工作容错免责清单（试行）》执行。树立以信任为前提的科研管理理念，落实《关于进一步弘扬科学家精神加强作风和学风建设的实施方案》要求。针对具体监督检查、科研诚信管理事项，严格按照《呼和浩特市科研诚信管理办法》及相关规定执行。本办法提到涉及财政资金事项按相关规定处理的，严格按照《呼和浩特市本级科技专项资金管理办法》执行。</w:t>
      </w:r>
    </w:p>
    <w:p w14:paraId="30DEACE9" w14:textId="77777777" w:rsidR="00E02A81" w:rsidRDefault="00000000">
      <w:pPr>
        <w:shd w:val="clear" w:color="auto" w:fill="FFFFFF"/>
        <w:spacing w:beforeLines="50" w:before="156" w:afterLines="50" w:after="156" w:line="580" w:lineRule="exact"/>
        <w:jc w:val="center"/>
        <w:rPr>
          <w:rFonts w:ascii="仿宋_GB2312" w:eastAsia="仿宋_GB2312" w:hAnsi="宋体" w:cs="Times New Roman" w:hint="eastAsia"/>
          <w:kern w:val="0"/>
          <w:sz w:val="32"/>
          <w:szCs w:val="32"/>
        </w:rPr>
      </w:pPr>
      <w:r>
        <w:rPr>
          <w:rFonts w:ascii="黑体" w:eastAsia="黑体" w:hAnsi="Times New Roman" w:cs="宋体" w:hint="eastAsia"/>
          <w:kern w:val="0"/>
          <w:sz w:val="32"/>
          <w:szCs w:val="32"/>
        </w:rPr>
        <w:t>第七章</w:t>
      </w:r>
      <w:r>
        <w:rPr>
          <w:rFonts w:ascii="黑体" w:eastAsia="黑体" w:hAnsi="黑体" w:cs="方正黑体_GBK"/>
          <w:spacing w:val="18"/>
          <w:kern w:val="0"/>
          <w:sz w:val="32"/>
          <w:szCs w:val="32"/>
        </w:rPr>
        <w:t xml:space="preserve">  </w:t>
      </w:r>
      <w:r>
        <w:rPr>
          <w:rFonts w:ascii="黑体" w:eastAsia="黑体" w:hAnsi="黑体" w:cs="方正黑体_GBK" w:hint="eastAsia"/>
          <w:spacing w:val="18"/>
          <w:kern w:val="0"/>
          <w:sz w:val="32"/>
          <w:szCs w:val="32"/>
        </w:rPr>
        <w:t>附</w:t>
      </w:r>
      <w:r>
        <w:rPr>
          <w:rFonts w:ascii="黑体" w:eastAsia="黑体" w:hAnsi="黑体" w:cs="方正黑体_GBK"/>
          <w:spacing w:val="18"/>
          <w:kern w:val="0"/>
          <w:sz w:val="32"/>
          <w:szCs w:val="32"/>
        </w:rPr>
        <w:t xml:space="preserve"> </w:t>
      </w:r>
      <w:r>
        <w:rPr>
          <w:rFonts w:ascii="黑体" w:eastAsia="黑体" w:hAnsi="黑体" w:cs="方正黑体_GBK" w:hint="eastAsia"/>
          <w:spacing w:val="18"/>
          <w:kern w:val="0"/>
          <w:sz w:val="32"/>
          <w:szCs w:val="32"/>
        </w:rPr>
        <w:t>则</w:t>
      </w:r>
    </w:p>
    <w:p w14:paraId="699C34F1" w14:textId="77777777" w:rsidR="00E02A81" w:rsidRDefault="00000000">
      <w:pPr>
        <w:spacing w:line="580" w:lineRule="exact"/>
        <w:ind w:firstLineChars="200" w:firstLine="643"/>
        <w:rPr>
          <w:rFonts w:ascii="仿宋_GB2312" w:eastAsia="仿宋_GB2312" w:hAnsi="宋体" w:cs="宋体" w:hint="eastAsia"/>
          <w:b/>
          <w:sz w:val="32"/>
          <w:szCs w:val="32"/>
        </w:rPr>
      </w:pPr>
      <w:r>
        <w:rPr>
          <w:rFonts w:ascii="仿宋_GB2312" w:eastAsia="仿宋_GB2312" w:hAnsi="宋体" w:cs="宋体" w:hint="eastAsia"/>
          <w:b/>
          <w:sz w:val="32"/>
          <w:szCs w:val="32"/>
        </w:rPr>
        <w:t xml:space="preserve">第三十九条 </w:t>
      </w:r>
      <w:r>
        <w:rPr>
          <w:rFonts w:ascii="仿宋_GB2312" w:eastAsia="仿宋_GB2312" w:hAnsi="宋体" w:cs="宋体" w:hint="eastAsia"/>
          <w:sz w:val="32"/>
          <w:szCs w:val="32"/>
        </w:rPr>
        <w:t>呼和浩特市科技计划项目涉及保密的，按照国家相关保密规定执行。</w:t>
      </w:r>
    </w:p>
    <w:p w14:paraId="28A7FAA3" w14:textId="77777777" w:rsidR="00E02A81" w:rsidRDefault="00000000">
      <w:pPr>
        <w:spacing w:line="580" w:lineRule="exact"/>
        <w:ind w:firstLineChars="200" w:firstLine="643"/>
        <w:rPr>
          <w:rFonts w:ascii="仿宋_GB2312" w:eastAsia="仿宋_GB2312" w:hAnsi="宋体" w:cs="宋体" w:hint="eastAsia"/>
          <w:b/>
          <w:sz w:val="32"/>
          <w:szCs w:val="32"/>
        </w:rPr>
      </w:pPr>
      <w:r>
        <w:rPr>
          <w:rFonts w:ascii="仿宋_GB2312" w:eastAsia="仿宋_GB2312" w:hAnsi="宋体" w:cs="宋体" w:hint="eastAsia"/>
          <w:b/>
          <w:sz w:val="32"/>
          <w:szCs w:val="32"/>
        </w:rPr>
        <w:t xml:space="preserve">第四十条 </w:t>
      </w:r>
      <w:r>
        <w:rPr>
          <w:rFonts w:ascii="仿宋_GB2312" w:eastAsia="仿宋_GB2312" w:hAnsi="宋体" w:cs="宋体" w:hint="eastAsia"/>
          <w:sz w:val="32"/>
          <w:szCs w:val="32"/>
        </w:rPr>
        <w:t>本办法自2025年</w:t>
      </w:r>
      <w:r>
        <w:rPr>
          <w:rFonts w:ascii="仿宋_GB2312" w:eastAsia="仿宋_GB2312" w:hAnsi="仿宋_GB2312" w:cs="仿宋_GB2312" w:hint="eastAsia"/>
          <w:sz w:val="32"/>
          <w:szCs w:val="32"/>
        </w:rPr>
        <w:t>11</w:t>
      </w:r>
      <w:r>
        <w:rPr>
          <w:rFonts w:ascii="仿宋_GB2312" w:eastAsia="仿宋_GB2312" w:hAnsi="宋体" w:cs="宋体" w:hint="eastAsia"/>
          <w:sz w:val="32"/>
          <w:szCs w:val="32"/>
        </w:rPr>
        <w:t>月</w:t>
      </w:r>
      <w:r>
        <w:rPr>
          <w:rFonts w:ascii="仿宋_GB2312" w:eastAsia="仿宋_GB2312" w:hAnsi="仿宋_GB2312" w:cs="仿宋_GB2312" w:hint="eastAsia"/>
          <w:sz w:val="32"/>
          <w:szCs w:val="32"/>
        </w:rPr>
        <w:t>18日</w:t>
      </w:r>
      <w:r>
        <w:rPr>
          <w:rFonts w:ascii="仿宋_GB2312" w:eastAsia="仿宋_GB2312" w:hAnsi="宋体" w:cs="宋体" w:hint="eastAsia"/>
          <w:sz w:val="32"/>
          <w:szCs w:val="32"/>
        </w:rPr>
        <w:t>起施行，有效期五年，此前发布的《呼和浩特市科技计划项目管理办法》（呼科字〔2022〕8号）同时废止，相关规定</w:t>
      </w:r>
      <w:r>
        <w:rPr>
          <w:rFonts w:ascii="仿宋_GB2312" w:eastAsia="仿宋_GB2312" w:hAnsi="宋体" w:cs="宋体" w:hint="eastAsia"/>
          <w:spacing w:val="-6"/>
          <w:sz w:val="32"/>
          <w:szCs w:val="32"/>
        </w:rPr>
        <w:t>与本办法要求不一致，以本办法为准</w:t>
      </w:r>
      <w:r>
        <w:rPr>
          <w:rFonts w:ascii="仿宋_GB2312" w:eastAsia="仿宋_GB2312" w:hAnsi="宋体" w:cs="宋体" w:hint="eastAsia"/>
          <w:sz w:val="32"/>
          <w:szCs w:val="32"/>
        </w:rPr>
        <w:t>。</w:t>
      </w:r>
      <w:r>
        <w:rPr>
          <w:rFonts w:ascii="仿宋_GB2312" w:eastAsia="仿宋_GB2312" w:hAnsi="宋体" w:cs="宋体"/>
          <w:b/>
          <w:sz w:val="32"/>
          <w:szCs w:val="32"/>
        </w:rPr>
        <w:cr/>
      </w:r>
    </w:p>
    <w:p w14:paraId="4F470712" w14:textId="77777777" w:rsidR="00E02A81" w:rsidRDefault="00E02A81">
      <w:pPr>
        <w:pStyle w:val="a0"/>
        <w:ind w:firstLine="321"/>
        <w:rPr>
          <w:rFonts w:ascii="仿宋_GB2312" w:eastAsia="仿宋_GB2312" w:hAnsi="宋体" w:cs="宋体" w:hint="eastAsia"/>
          <w:szCs w:val="32"/>
        </w:rPr>
      </w:pPr>
    </w:p>
    <w:p w14:paraId="72E71ECB" w14:textId="77777777" w:rsidR="00E02A81" w:rsidRDefault="00E02A81">
      <w:pPr>
        <w:pStyle w:val="20"/>
        <w:rPr>
          <w:rFonts w:eastAsia="仿宋_GB2312" w:hAnsi="宋体" w:cs="宋体" w:hint="eastAsia"/>
          <w:b/>
        </w:rPr>
      </w:pPr>
    </w:p>
    <w:p w14:paraId="2795491C" w14:textId="77777777" w:rsidR="00E02A81" w:rsidRDefault="00E02A81">
      <w:pPr>
        <w:rPr>
          <w:rFonts w:ascii="仿宋_GB2312" w:eastAsia="仿宋_GB2312" w:hAnsi="宋体" w:cs="宋体" w:hint="eastAsia"/>
          <w:b/>
          <w:sz w:val="32"/>
          <w:szCs w:val="32"/>
        </w:rPr>
      </w:pPr>
    </w:p>
    <w:p w14:paraId="25227849" w14:textId="77777777" w:rsidR="00E02A81" w:rsidRDefault="00E02A81">
      <w:pPr>
        <w:pStyle w:val="a0"/>
        <w:ind w:firstLine="321"/>
        <w:rPr>
          <w:rFonts w:ascii="仿宋_GB2312" w:eastAsia="仿宋_GB2312" w:hAnsi="宋体" w:cs="宋体" w:hint="eastAsia"/>
          <w:szCs w:val="32"/>
        </w:rPr>
      </w:pPr>
    </w:p>
    <w:p w14:paraId="366D5C71" w14:textId="77777777" w:rsidR="00E02A81" w:rsidRDefault="00E02A81">
      <w:pPr>
        <w:pStyle w:val="20"/>
        <w:rPr>
          <w:rFonts w:eastAsia="仿宋_GB2312" w:hAnsi="宋体" w:cs="宋体" w:hint="eastAsia"/>
          <w:b/>
        </w:rPr>
      </w:pPr>
    </w:p>
    <w:p w14:paraId="1C801F50" w14:textId="77777777" w:rsidR="00E02A81" w:rsidRDefault="00E02A81">
      <w:pPr>
        <w:pStyle w:val="a0"/>
        <w:ind w:firstLine="321"/>
        <w:rPr>
          <w:rFonts w:ascii="仿宋_GB2312" w:eastAsia="仿宋_GB2312" w:hAnsi="宋体" w:cs="宋体" w:hint="eastAsia"/>
          <w:szCs w:val="32"/>
        </w:rPr>
      </w:pPr>
    </w:p>
    <w:p w14:paraId="7A3E05BE" w14:textId="77777777" w:rsidR="00E02A81" w:rsidRDefault="00E02A81">
      <w:pPr>
        <w:pStyle w:val="20"/>
        <w:rPr>
          <w:rFonts w:eastAsia="仿宋_GB2312" w:hAnsi="宋体" w:cs="宋体" w:hint="eastAsia"/>
          <w:b/>
        </w:rPr>
      </w:pPr>
    </w:p>
    <w:p w14:paraId="386F4761" w14:textId="77777777" w:rsidR="00E02A81" w:rsidRDefault="00E02A81">
      <w:pPr>
        <w:rPr>
          <w:rFonts w:ascii="仿宋_GB2312" w:eastAsia="仿宋_GB2312" w:hAnsi="宋体" w:cs="宋体" w:hint="eastAsia"/>
          <w:b/>
          <w:sz w:val="32"/>
          <w:szCs w:val="32"/>
        </w:rPr>
      </w:pPr>
    </w:p>
    <w:p w14:paraId="201229BC" w14:textId="77777777" w:rsidR="00E02A81" w:rsidRDefault="00E02A81">
      <w:pPr>
        <w:pStyle w:val="a0"/>
        <w:ind w:firstLine="321"/>
        <w:rPr>
          <w:rFonts w:ascii="仿宋_GB2312" w:eastAsia="仿宋_GB2312" w:hAnsi="宋体" w:cs="宋体" w:hint="eastAsia"/>
          <w:szCs w:val="32"/>
        </w:rPr>
      </w:pPr>
    </w:p>
    <w:p w14:paraId="73D7CE6F" w14:textId="77777777" w:rsidR="00E02A81" w:rsidRDefault="00E02A81">
      <w:pPr>
        <w:pStyle w:val="20"/>
        <w:rPr>
          <w:rFonts w:eastAsia="仿宋_GB2312" w:hAnsi="宋体" w:cs="宋体" w:hint="eastAsia"/>
          <w:b/>
        </w:rPr>
      </w:pPr>
    </w:p>
    <w:p w14:paraId="391780EB" w14:textId="77777777" w:rsidR="00E02A81" w:rsidRDefault="00E02A81">
      <w:pPr>
        <w:rPr>
          <w:rFonts w:ascii="仿宋_GB2312" w:eastAsia="仿宋_GB2312" w:hAnsi="宋体" w:cs="宋体" w:hint="eastAsia"/>
          <w:b/>
          <w:sz w:val="32"/>
          <w:szCs w:val="32"/>
        </w:rPr>
      </w:pPr>
    </w:p>
    <w:p w14:paraId="55B9964E" w14:textId="77777777" w:rsidR="00E02A81" w:rsidRDefault="00E02A81">
      <w:pPr>
        <w:pStyle w:val="a0"/>
        <w:ind w:firstLine="321"/>
        <w:rPr>
          <w:rFonts w:ascii="仿宋_GB2312" w:eastAsia="仿宋_GB2312" w:hAnsi="宋体" w:cs="宋体" w:hint="eastAsia"/>
          <w:szCs w:val="32"/>
        </w:rPr>
      </w:pPr>
    </w:p>
    <w:p w14:paraId="4BC80D7F" w14:textId="77777777" w:rsidR="00E02A81" w:rsidRDefault="00E02A81">
      <w:pPr>
        <w:pStyle w:val="20"/>
        <w:rPr>
          <w:rFonts w:eastAsia="仿宋_GB2312" w:hAnsi="宋体" w:cs="宋体" w:hint="eastAsia"/>
          <w:b/>
        </w:rPr>
      </w:pPr>
    </w:p>
    <w:p w14:paraId="54BA8ED6" w14:textId="77777777" w:rsidR="00E02A81" w:rsidRDefault="00E02A81">
      <w:pPr>
        <w:rPr>
          <w:rFonts w:ascii="仿宋_GB2312" w:eastAsia="仿宋_GB2312" w:hAnsi="宋体" w:cs="宋体" w:hint="eastAsia"/>
          <w:b/>
          <w:sz w:val="32"/>
          <w:szCs w:val="32"/>
        </w:rPr>
      </w:pPr>
    </w:p>
    <w:p w14:paraId="14068F72" w14:textId="77777777" w:rsidR="00E02A81" w:rsidRDefault="00E02A81">
      <w:pPr>
        <w:pStyle w:val="a0"/>
        <w:ind w:firstLine="321"/>
        <w:rPr>
          <w:rFonts w:ascii="仿宋_GB2312" w:eastAsia="仿宋_GB2312" w:hAnsi="宋体" w:cs="宋体" w:hint="eastAsia"/>
          <w:szCs w:val="32"/>
        </w:rPr>
      </w:pPr>
    </w:p>
    <w:p w14:paraId="5AB9CAE0" w14:textId="77777777" w:rsidR="00E02A81" w:rsidRDefault="00E02A81">
      <w:pPr>
        <w:pStyle w:val="20"/>
        <w:spacing w:after="0"/>
        <w:rPr>
          <w:rFonts w:eastAsia="仿宋_GB2312" w:hAnsi="宋体" w:cs="宋体" w:hint="eastAsia"/>
          <w:b/>
        </w:rPr>
      </w:pPr>
    </w:p>
    <w:p w14:paraId="24A8D1A3" w14:textId="77777777" w:rsidR="00E02A81" w:rsidRDefault="00E02A81"/>
    <w:p w14:paraId="7B7F2105" w14:textId="77777777" w:rsidR="00E02A81" w:rsidRDefault="00E02A81">
      <w:pPr>
        <w:rPr>
          <w:rFonts w:ascii="仿宋_GB2312" w:eastAsia="仿宋_GB2312" w:hAnsi="宋体" w:cs="宋体" w:hint="eastAsia"/>
          <w:b/>
          <w:sz w:val="32"/>
          <w:szCs w:val="32"/>
        </w:rPr>
      </w:pPr>
    </w:p>
    <w:p w14:paraId="5722AF9B" w14:textId="77777777" w:rsidR="00E02A81" w:rsidRDefault="00E02A81">
      <w:pPr>
        <w:pStyle w:val="a0"/>
        <w:ind w:firstLine="321"/>
        <w:rPr>
          <w:rFonts w:ascii="仿宋_GB2312" w:eastAsia="仿宋_GB2312" w:hAnsi="宋体" w:cs="宋体" w:hint="eastAsia"/>
          <w:szCs w:val="32"/>
        </w:rPr>
      </w:pPr>
    </w:p>
    <w:p w14:paraId="68B7B1A3" w14:textId="77777777" w:rsidR="00E02A81" w:rsidRDefault="00E02A81">
      <w:pPr>
        <w:pStyle w:val="20"/>
        <w:rPr>
          <w:rFonts w:eastAsia="仿宋_GB2312" w:hAnsi="宋体" w:cs="宋体" w:hint="eastAsia"/>
          <w:b/>
        </w:rPr>
      </w:pPr>
    </w:p>
    <w:bookmarkEnd w:id="0"/>
    <w:bookmarkEnd w:id="2"/>
    <w:p w14:paraId="6A269C5E" w14:textId="77777777" w:rsidR="00E02A81" w:rsidRDefault="00000000">
      <w:pPr>
        <w:jc w:val="center"/>
        <w:rPr>
          <w:rFonts w:ascii="仿宋_GB2312" w:eastAsia="仿宋_GB2312" w:hAnsi="仿宋_GB2312" w:cs="仿宋_GB2312" w:hint="eastAsia"/>
          <w:sz w:val="32"/>
          <w:szCs w:val="32"/>
        </w:rPr>
      </w:pPr>
      <w:r>
        <w:rPr>
          <w:rFonts w:ascii="仿宋_GB2312" w:eastAsia="仿宋_GB2312" w:hAnsi="仿宋_GB2312" w:cs="仿宋_GB2312" w:hint="eastAsia"/>
          <w:noProof/>
        </w:rPr>
        <mc:AlternateContent>
          <mc:Choice Requires="wps">
            <w:drawing>
              <wp:anchor distT="0" distB="0" distL="114300" distR="114300" simplePos="0" relativeHeight="251661312" behindDoc="0" locked="0" layoutInCell="1" allowOverlap="1" wp14:anchorId="6649C067" wp14:editId="36670BBB">
                <wp:simplePos x="0" y="0"/>
                <wp:positionH relativeFrom="column">
                  <wp:posOffset>-14605</wp:posOffset>
                </wp:positionH>
                <wp:positionV relativeFrom="paragraph">
                  <wp:posOffset>20320</wp:posOffset>
                </wp:positionV>
                <wp:extent cx="5605145" cy="1905"/>
                <wp:effectExtent l="0" t="0" r="0" b="0"/>
                <wp:wrapNone/>
                <wp:docPr id="5" name="直接连接符 5"/>
                <wp:cNvGraphicFramePr/>
                <a:graphic xmlns:a="http://schemas.openxmlformats.org/drawingml/2006/main">
                  <a:graphicData uri="http://schemas.microsoft.com/office/word/2010/wordprocessingShape">
                    <wps:wsp>
                      <wps:cNvCnPr/>
                      <wps:spPr>
                        <a:xfrm flipV="1">
                          <a:off x="0" y="0"/>
                          <a:ext cx="5605145" cy="1905"/>
                        </a:xfrm>
                        <a:prstGeom prst="line">
                          <a:avLst/>
                        </a:prstGeom>
                        <a:ln w="1270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flip:y;margin-left:-1.15pt;margin-top:1.6pt;height:0.15pt;width:441.35pt;z-index:251661312;mso-width-relative:page;mso-height-relative:page;" filled="f" stroked="t" coordsize="21600,21600" o:gfxdata="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lec8otUAAAAGAQAADwAAAAAAAAABACAAAAA4&#10;AAAAZHJzL2Rvd25yZXYueG1sUEsBAhQAFAAAAAgAh07iQDVdqkr3AQAA5gMAAA4AAAAAAAAAAQAg&#10;AAAAOgEAAGRycy9lMm9Eb2MueG1sUEsFBgAAAAAGAAYAWQEAAKMFAAAAAA==&#10;">
                <v:fill on="f" focussize="0,0"/>
                <v:stroke weight="1pt" color="#000000" joinstyle="round"/>
                <v:imagedata o:title=""/>
                <o:lock v:ext="edit" aspectratio="f"/>
              </v:line>
            </w:pict>
          </mc:Fallback>
        </mc:AlternateContent>
      </w:r>
      <w:r>
        <w:rPr>
          <w:rFonts w:ascii="仿宋_GB2312" w:eastAsia="仿宋_GB2312" w:hAnsi="仿宋_GB2312" w:cs="仿宋_GB2312" w:hint="eastAsia"/>
          <w:noProof/>
          <w:kern w:val="0"/>
          <w:sz w:val="28"/>
          <w:szCs w:val="28"/>
        </w:rPr>
        <mc:AlternateContent>
          <mc:Choice Requires="wps">
            <w:drawing>
              <wp:anchor distT="0" distB="0" distL="114300" distR="114300" simplePos="0" relativeHeight="251660288" behindDoc="0" locked="0" layoutInCell="1" allowOverlap="1" wp14:anchorId="2A39D662" wp14:editId="07E23217">
                <wp:simplePos x="0" y="0"/>
                <wp:positionH relativeFrom="column">
                  <wp:posOffset>-29845</wp:posOffset>
                </wp:positionH>
                <wp:positionV relativeFrom="paragraph">
                  <wp:posOffset>334010</wp:posOffset>
                </wp:positionV>
                <wp:extent cx="5636895"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636895" cy="635"/>
                        </a:xfrm>
                        <a:prstGeom prst="line">
                          <a:avLst/>
                        </a:prstGeom>
                        <a:ln w="1270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2.35pt;margin-top:26.3pt;height:0.05pt;width:443.85pt;z-index:251660288;mso-width-relative:page;mso-height-relative:page;" filled="f" stroked="t" coordsize="21600,21600" o:gfxdata="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&#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A9rPJLYAAAACAEAAA8AAAAAAAAAAQAgAAAAOAAAAGRy&#10;cy9kb3ducmV2LnhtbFBLAQIUABQAAAAIAIdO4kDp18c17wEAANsDAAAOAAAAAAAAAAEAIAAAAD0B&#10;AABkcnMvZTJvRG9jLnhtbFBLBQYAAAAABgAGAFkBAACeBQAAAAA=&#10;">
                <v:fill on="f" focussize="0,0"/>
                <v:stroke weight="1pt" color="#000000" joinstyle="round"/>
                <v:imagedata o:title=""/>
                <o:lock v:ext="edit" aspectratio="f"/>
              </v:line>
            </w:pict>
          </mc:Fallback>
        </mc:AlternateContent>
      </w:r>
      <w:r>
        <w:rPr>
          <w:rFonts w:ascii="仿宋_GB2312" w:eastAsia="仿宋_GB2312" w:hAnsi="仿宋_GB2312" w:cs="仿宋_GB2312" w:hint="eastAsia"/>
          <w:kern w:val="0"/>
          <w:sz w:val="28"/>
          <w:szCs w:val="28"/>
        </w:rPr>
        <w:t>呼和浩特市科学技术局                     2025年11月18日印发</w:t>
      </w:r>
    </w:p>
    <w:sectPr w:rsidR="00E02A81">
      <w:footerReference w:type="even" r:id="rId8"/>
      <w:footerReference w:type="default" r:id="rId9"/>
      <w:pgSz w:w="11906" w:h="16838"/>
      <w:pgMar w:top="2098" w:right="1474" w:bottom="1984" w:left="1588" w:header="851" w:footer="1304" w:gutter="0"/>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1F0E04" w14:textId="77777777" w:rsidR="00AB3D6D" w:rsidRDefault="00AB3D6D">
      <w:r>
        <w:separator/>
      </w:r>
    </w:p>
  </w:endnote>
  <w:endnote w:type="continuationSeparator" w:id="0">
    <w:p w14:paraId="373160F7" w14:textId="77777777" w:rsidR="00AB3D6D" w:rsidRDefault="00AB3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charset w:val="86"/>
    <w:family w:val="script"/>
    <w:pitch w:val="default"/>
    <w:sig w:usb0="00000001" w:usb1="08000000" w:usb2="00000000" w:usb3="00000000" w:csb0="00040000" w:csb1="00000000"/>
  </w:font>
  <w:font w:name="方正黑体_GBK">
    <w:charset w:val="86"/>
    <w:family w:val="script"/>
    <w:pitch w:val="default"/>
    <w:sig w:usb0="00000001" w:usb1="08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01CBD" w14:textId="77777777" w:rsidR="00E02A81" w:rsidRDefault="00000000">
    <w:pPr>
      <w:pStyle w:val="a8"/>
    </w:pPr>
    <w:r>
      <w:rPr>
        <w:noProof/>
      </w:rPr>
      <mc:AlternateContent>
        <mc:Choice Requires="wps">
          <w:drawing>
            <wp:anchor distT="0" distB="0" distL="114300" distR="114300" simplePos="0" relativeHeight="251660288" behindDoc="0" locked="0" layoutInCell="1" allowOverlap="1" wp14:anchorId="5593FAA4" wp14:editId="29033F0B">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3AAF089" w14:textId="77777777" w:rsidR="00E02A81" w:rsidRDefault="00000000">
                          <w:pPr>
                            <w:pStyle w:val="a8"/>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2</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593FAA4"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13AAF089" w14:textId="77777777" w:rsidR="00E02A81" w:rsidRDefault="00000000">
                    <w:pPr>
                      <w:pStyle w:val="a8"/>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2</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E24D9" w14:textId="77777777" w:rsidR="00E02A81" w:rsidRDefault="00000000">
    <w:pPr>
      <w:pStyle w:val="a8"/>
      <w:jc w:val="right"/>
      <w:rPr>
        <w:rFonts w:ascii="宋体" w:eastAsia="宋体" w:hAnsi="宋体" w:hint="eastAsia"/>
        <w:sz w:val="28"/>
        <w:szCs w:val="28"/>
      </w:rPr>
    </w:pPr>
    <w:r>
      <w:rPr>
        <w:noProof/>
        <w:sz w:val="28"/>
      </w:rPr>
      <mc:AlternateContent>
        <mc:Choice Requires="wps">
          <w:drawing>
            <wp:anchor distT="0" distB="0" distL="114300" distR="114300" simplePos="0" relativeHeight="251659264" behindDoc="0" locked="0" layoutInCell="1" allowOverlap="1" wp14:anchorId="7C965E30" wp14:editId="2FA8456F">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57C7FAD" w14:textId="77777777" w:rsidR="00E02A81" w:rsidRDefault="00000000">
                          <w:pPr>
                            <w:pStyle w:val="a8"/>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- 3 -</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C965E30"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59264;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" filled="f" fillcolor="white [3201]" stroked="f" strokeweight=".5pt">
              <v:textbox style="mso-fit-shape-to-text:t" inset="0,0,0,0">
                <w:txbxContent>
                  <w:p w14:paraId="657C7FAD" w14:textId="77777777" w:rsidR="00E02A81" w:rsidRDefault="00000000">
                    <w:pPr>
                      <w:pStyle w:val="a8"/>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- 3 -</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F7FD2" w14:textId="77777777" w:rsidR="00AB3D6D" w:rsidRDefault="00AB3D6D">
      <w:r>
        <w:separator/>
      </w:r>
    </w:p>
  </w:footnote>
  <w:footnote w:type="continuationSeparator" w:id="0">
    <w:p w14:paraId="506A9893" w14:textId="77777777" w:rsidR="00AB3D6D" w:rsidRDefault="00AB3D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EwMTUxOGMwMDk5Y2QzMjY2Y2UzODJiMTdhMGEwOTIifQ=="/>
  </w:docVars>
  <w:rsids>
    <w:rsidRoot w:val="00435296"/>
    <w:rsid w:val="87ECF5A7"/>
    <w:rsid w:val="9FFD081E"/>
    <w:rsid w:val="AD7BED06"/>
    <w:rsid w:val="BFFFC481"/>
    <w:rsid w:val="DDFF7F03"/>
    <w:rsid w:val="DF17CB3C"/>
    <w:rsid w:val="DF7FDAFE"/>
    <w:rsid w:val="E76FADB2"/>
    <w:rsid w:val="E7CEF31B"/>
    <w:rsid w:val="F3BF2BCF"/>
    <w:rsid w:val="FBBFA865"/>
    <w:rsid w:val="FDBE0AF6"/>
    <w:rsid w:val="FDEF1F2D"/>
    <w:rsid w:val="FEBDEC7A"/>
    <w:rsid w:val="FFC75D19"/>
    <w:rsid w:val="00014D68"/>
    <w:rsid w:val="00031244"/>
    <w:rsid w:val="000331AB"/>
    <w:rsid w:val="00057FEE"/>
    <w:rsid w:val="000B05CD"/>
    <w:rsid w:val="000D2B3B"/>
    <w:rsid w:val="00146604"/>
    <w:rsid w:val="00163708"/>
    <w:rsid w:val="00171454"/>
    <w:rsid w:val="001749E6"/>
    <w:rsid w:val="00176A97"/>
    <w:rsid w:val="00186D0D"/>
    <w:rsid w:val="00294383"/>
    <w:rsid w:val="002A0195"/>
    <w:rsid w:val="00357726"/>
    <w:rsid w:val="00364B4E"/>
    <w:rsid w:val="00366F31"/>
    <w:rsid w:val="003B1CAE"/>
    <w:rsid w:val="003F2DBC"/>
    <w:rsid w:val="00421AB9"/>
    <w:rsid w:val="00435296"/>
    <w:rsid w:val="0044269B"/>
    <w:rsid w:val="004A292B"/>
    <w:rsid w:val="004A3DAE"/>
    <w:rsid w:val="0053646E"/>
    <w:rsid w:val="005A64E8"/>
    <w:rsid w:val="005C6D9D"/>
    <w:rsid w:val="00626E11"/>
    <w:rsid w:val="006C0CCF"/>
    <w:rsid w:val="00706C8E"/>
    <w:rsid w:val="007100C3"/>
    <w:rsid w:val="00753F6B"/>
    <w:rsid w:val="007859AC"/>
    <w:rsid w:val="00787658"/>
    <w:rsid w:val="007B5224"/>
    <w:rsid w:val="00836BF9"/>
    <w:rsid w:val="00843E61"/>
    <w:rsid w:val="0085666B"/>
    <w:rsid w:val="008C24C3"/>
    <w:rsid w:val="00907B57"/>
    <w:rsid w:val="009216A4"/>
    <w:rsid w:val="009371B3"/>
    <w:rsid w:val="0098126C"/>
    <w:rsid w:val="009A19B2"/>
    <w:rsid w:val="009D6908"/>
    <w:rsid w:val="00A273FF"/>
    <w:rsid w:val="00A309D2"/>
    <w:rsid w:val="00A76479"/>
    <w:rsid w:val="00AB3D6D"/>
    <w:rsid w:val="00AC5871"/>
    <w:rsid w:val="00AC6D75"/>
    <w:rsid w:val="00AD6DB4"/>
    <w:rsid w:val="00B359F0"/>
    <w:rsid w:val="00B638A9"/>
    <w:rsid w:val="00B76DCC"/>
    <w:rsid w:val="00B83FC9"/>
    <w:rsid w:val="00B97AF0"/>
    <w:rsid w:val="00BB4D5A"/>
    <w:rsid w:val="00BC737C"/>
    <w:rsid w:val="00BE7199"/>
    <w:rsid w:val="00C01C3D"/>
    <w:rsid w:val="00C32552"/>
    <w:rsid w:val="00C35759"/>
    <w:rsid w:val="00C42BF7"/>
    <w:rsid w:val="00CA1BB1"/>
    <w:rsid w:val="00CA2C3E"/>
    <w:rsid w:val="00CB37E0"/>
    <w:rsid w:val="00CB5643"/>
    <w:rsid w:val="00CB5BB5"/>
    <w:rsid w:val="00D50CAF"/>
    <w:rsid w:val="00D653DB"/>
    <w:rsid w:val="00D73C38"/>
    <w:rsid w:val="00DB04B8"/>
    <w:rsid w:val="00DC711E"/>
    <w:rsid w:val="00DD356A"/>
    <w:rsid w:val="00E02A81"/>
    <w:rsid w:val="00E04FEF"/>
    <w:rsid w:val="00E15E49"/>
    <w:rsid w:val="00E23AFB"/>
    <w:rsid w:val="00E53731"/>
    <w:rsid w:val="00E928F0"/>
    <w:rsid w:val="00F11980"/>
    <w:rsid w:val="00F27A07"/>
    <w:rsid w:val="00F34D33"/>
    <w:rsid w:val="00F6117D"/>
    <w:rsid w:val="00FD7D33"/>
    <w:rsid w:val="00FF2444"/>
    <w:rsid w:val="00FF7752"/>
    <w:rsid w:val="01787946"/>
    <w:rsid w:val="03D811F5"/>
    <w:rsid w:val="067C09C2"/>
    <w:rsid w:val="0A5044B2"/>
    <w:rsid w:val="1776A3F6"/>
    <w:rsid w:val="1A5F2FF9"/>
    <w:rsid w:val="1AF220BF"/>
    <w:rsid w:val="1F952C99"/>
    <w:rsid w:val="2E0F0008"/>
    <w:rsid w:val="391F14D7"/>
    <w:rsid w:val="3BFDF334"/>
    <w:rsid w:val="46250CEB"/>
    <w:rsid w:val="47D41938"/>
    <w:rsid w:val="4B1141EF"/>
    <w:rsid w:val="4CFF3BFD"/>
    <w:rsid w:val="5199339E"/>
    <w:rsid w:val="52AB4C74"/>
    <w:rsid w:val="5FFF038B"/>
    <w:rsid w:val="60FD6656"/>
    <w:rsid w:val="6FFE0D81"/>
    <w:rsid w:val="6FFE8306"/>
    <w:rsid w:val="77EF7C8F"/>
    <w:rsid w:val="78A72C0B"/>
    <w:rsid w:val="7956483E"/>
    <w:rsid w:val="798146A8"/>
    <w:rsid w:val="7C7AF543"/>
    <w:rsid w:val="7EFEC215"/>
    <w:rsid w:val="7FC761EF"/>
    <w:rsid w:val="7FFF98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92F6AE1"/>
  <w15:docId w15:val="{89844CD8-EB31-4B16-8706-3773CC25B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First Indent 2"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20"/>
    <w:qFormat/>
    <w:pPr>
      <w:spacing w:line="360" w:lineRule="auto"/>
      <w:ind w:firstLineChars="100" w:firstLine="100"/>
    </w:pPr>
    <w:rPr>
      <w:rFonts w:ascii="黑体" w:hAnsi="黑体"/>
      <w:b/>
      <w:sz w:val="32"/>
    </w:rPr>
  </w:style>
  <w:style w:type="paragraph" w:styleId="a4">
    <w:name w:val="Body Text"/>
    <w:basedOn w:val="a"/>
    <w:next w:val="21"/>
    <w:qFormat/>
    <w:pPr>
      <w:spacing w:after="120"/>
    </w:pPr>
  </w:style>
  <w:style w:type="paragraph" w:styleId="21">
    <w:name w:val="Body Text 2"/>
    <w:basedOn w:val="a"/>
    <w:qFormat/>
    <w:pPr>
      <w:spacing w:line="480" w:lineRule="auto"/>
    </w:pPr>
  </w:style>
  <w:style w:type="paragraph" w:styleId="20">
    <w:name w:val="Body Text First Indent 2"/>
    <w:basedOn w:val="a5"/>
    <w:next w:val="a"/>
    <w:qFormat/>
    <w:pPr>
      <w:ind w:leftChars="0" w:left="0" w:firstLine="40"/>
    </w:pPr>
    <w:rPr>
      <w:rFonts w:ascii="仿宋_GB2312" w:eastAsia="仿宋" w:hAnsi="仿宋_GB2312"/>
      <w:sz w:val="32"/>
      <w:szCs w:val="32"/>
    </w:rPr>
  </w:style>
  <w:style w:type="paragraph" w:styleId="a5">
    <w:name w:val="Body Text Indent"/>
    <w:basedOn w:val="a"/>
    <w:next w:val="a"/>
    <w:qFormat/>
    <w:pPr>
      <w:spacing w:after="120"/>
      <w:ind w:leftChars="200" w:left="200"/>
    </w:pPr>
  </w:style>
  <w:style w:type="paragraph" w:styleId="a6">
    <w:name w:val="Date"/>
    <w:basedOn w:val="a"/>
    <w:next w:val="a"/>
    <w:link w:val="a7"/>
    <w:qFormat/>
    <w:pPr>
      <w:ind w:leftChars="2500" w:left="100"/>
    </w:pPr>
  </w:style>
  <w:style w:type="paragraph" w:styleId="a8">
    <w:name w:val="footer"/>
    <w:basedOn w:val="a"/>
    <w:link w:val="a9"/>
    <w:uiPriority w:val="99"/>
    <w:qFormat/>
    <w:pPr>
      <w:tabs>
        <w:tab w:val="center" w:pos="4153"/>
        <w:tab w:val="right" w:pos="8306"/>
      </w:tabs>
      <w:snapToGrid w:val="0"/>
      <w:jc w:val="left"/>
    </w:pPr>
    <w:rPr>
      <w:sz w:val="18"/>
    </w:rPr>
  </w:style>
  <w:style w:type="paragraph" w:styleId="aa">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Normal (Web)"/>
    <w:basedOn w:val="a"/>
    <w:qFormat/>
    <w:pPr>
      <w:spacing w:beforeAutospacing="1" w:afterAutospacing="1"/>
      <w:jc w:val="left"/>
    </w:pPr>
    <w:rPr>
      <w:rFonts w:cs="Times New Roman"/>
      <w:kern w:val="0"/>
      <w:sz w:val="24"/>
    </w:rPr>
  </w:style>
  <w:style w:type="character" w:customStyle="1" w:styleId="a7">
    <w:name w:val="日期 字符"/>
    <w:basedOn w:val="a1"/>
    <w:link w:val="a6"/>
    <w:qFormat/>
    <w:rPr>
      <w:rFonts w:asciiTheme="minorHAnsi" w:eastAsiaTheme="minorEastAsia" w:hAnsiTheme="minorHAnsi" w:cstheme="minorBidi"/>
      <w:kern w:val="2"/>
      <w:sz w:val="21"/>
      <w:szCs w:val="24"/>
    </w:rPr>
  </w:style>
  <w:style w:type="character" w:customStyle="1" w:styleId="a9">
    <w:name w:val="页脚 字符"/>
    <w:basedOn w:val="a1"/>
    <w:link w:val="a8"/>
    <w:uiPriority w:val="99"/>
    <w:qFormat/>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StyleName="APA" Version="6" SelectedStyle="\APASixthEditionOfficeOnline.xsl"/>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37673A2E-1355-48D5-AA86-66D9C9ED734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3475</Words>
  <Characters>3475</Characters>
  <Application>Microsoft Office Word</Application>
  <DocSecurity>0</DocSecurity>
  <Lines>173</Lines>
  <Paragraphs>136</Paragraphs>
  <ScaleCrop>false</ScaleCrop>
  <Company/>
  <LinksUpToDate>false</LinksUpToDate>
  <CharactersWithSpaces>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kjjhh</dc:creator>
  <cp:lastModifiedBy>穆罕默德 阿里</cp:lastModifiedBy>
  <cp:revision>2</cp:revision>
  <cp:lastPrinted>2025-11-19T11:56:00Z</cp:lastPrinted>
  <dcterms:created xsi:type="dcterms:W3CDTF">2025-11-19T07:10:00Z</dcterms:created>
  <dcterms:modified xsi:type="dcterms:W3CDTF">2025-11-19T07:10:00Z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D4A26BEC6E6845DEA0DE4F0365D37032_12</vt:lpwstr>
  </property>
</Properties>
</file>